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57E9B">
      <w:pPr>
        <w:spacing w:before="156" w:beforeLines="50" w:after="156" w:afterLines="50" w:line="240" w:lineRule="auto"/>
        <w:jc w:val="center"/>
        <w:rPr>
          <w:rFonts w:hint="eastAsia" w:ascii="宋体" w:hAnsi="宋体" w:eastAsia="宋体" w:cs="宋体"/>
          <w:sz w:val="44"/>
          <w:szCs w:val="44"/>
        </w:rPr>
      </w:pPr>
      <w:r>
        <w:rPr>
          <w:rFonts w:hint="eastAsia" w:ascii="宋体" w:hAnsi="宋体" w:eastAsia="宋体" w:cs="宋体"/>
          <w:sz w:val="44"/>
          <w:szCs w:val="44"/>
        </w:rPr>
        <w:t>《</w:t>
      </w:r>
      <w:r>
        <w:rPr>
          <w:rFonts w:hint="eastAsia" w:ascii="宋体" w:hAnsi="宋体" w:cs="宋体"/>
          <w:sz w:val="44"/>
          <w:szCs w:val="44"/>
          <w:lang w:eastAsia="zh-CN"/>
        </w:rPr>
        <w:t>抗老类妆食同源产品安全性与功效评价</w:t>
      </w:r>
      <w:r>
        <w:rPr>
          <w:rFonts w:hint="eastAsia" w:ascii="宋体" w:hAnsi="宋体" w:eastAsia="宋体" w:cs="宋体"/>
          <w:sz w:val="44"/>
          <w:szCs w:val="44"/>
        </w:rPr>
        <w:t>》</w:t>
      </w:r>
    </w:p>
    <w:p w14:paraId="6194D0B5">
      <w:pPr>
        <w:spacing w:before="156" w:beforeLines="50" w:after="156" w:afterLines="50" w:line="240" w:lineRule="auto"/>
        <w:jc w:val="center"/>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（征求意见稿）</w:t>
      </w:r>
    </w:p>
    <w:p w14:paraId="4D6DE6E4">
      <w:pPr>
        <w:spacing w:before="156" w:beforeLines="50" w:after="156" w:afterLines="50" w:line="240" w:lineRule="auto"/>
        <w:jc w:val="center"/>
        <w:rPr>
          <w:rFonts w:hint="eastAsia" w:ascii="Times New Roman" w:hAnsi="Times New Roman" w:eastAsia="黑体"/>
          <w:sz w:val="32"/>
          <w:szCs w:val="32"/>
          <w:lang w:eastAsia="zh-CN"/>
        </w:rPr>
      </w:pPr>
      <w:r>
        <w:rPr>
          <w:rFonts w:hint="eastAsia" w:ascii="Times New Roman" w:hAnsi="Times New Roman" w:eastAsia="黑体"/>
          <w:sz w:val="32"/>
          <w:szCs w:val="32"/>
          <w:lang w:val="en-US" w:eastAsia="zh-CN"/>
        </w:rPr>
        <w:t>编制说明</w:t>
      </w:r>
    </w:p>
    <w:p w14:paraId="134EB349">
      <w:pPr>
        <w:numPr>
          <w:ilvl w:val="0"/>
          <w:numId w:val="3"/>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工作简况</w:t>
      </w:r>
    </w:p>
    <w:p w14:paraId="4FD900D8">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（一）任务来源</w:t>
      </w:r>
    </w:p>
    <w:p w14:paraId="3CAA0B36">
      <w:pPr>
        <w:pStyle w:val="7"/>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本项目根据中国欧洲经济技术合作协会</w:t>
      </w:r>
      <w:r>
        <w:rPr>
          <w:rFonts w:hint="eastAsia" w:ascii="宋体" w:hAnsi="宋体" w:eastAsia="宋体" w:cs="宋体"/>
          <w:highlight w:val="none"/>
          <w:lang w:val="en-US"/>
        </w:rPr>
        <w:t>20</w:t>
      </w:r>
      <w:r>
        <w:rPr>
          <w:rFonts w:hint="eastAsia" w:ascii="宋体" w:hAnsi="宋体" w:eastAsia="宋体" w:cs="宋体"/>
          <w:highlight w:val="none"/>
          <w:lang w:val="en-US" w:eastAsia="zh-CN"/>
        </w:rPr>
        <w:t>2</w:t>
      </w:r>
      <w:r>
        <w:rPr>
          <w:rFonts w:hint="eastAsia" w:ascii="宋体" w:hAnsi="宋体" w:cs="宋体"/>
          <w:highlight w:val="none"/>
          <w:lang w:val="en-US" w:eastAsia="zh-CN"/>
        </w:rPr>
        <w:t>6</w:t>
      </w:r>
      <w:r>
        <w:rPr>
          <w:rFonts w:hint="eastAsia" w:ascii="宋体" w:hAnsi="宋体" w:eastAsia="宋体" w:cs="宋体"/>
          <w:highlight w:val="none"/>
          <w:lang w:val="en-US"/>
        </w:rPr>
        <w:t>年团</w:t>
      </w:r>
      <w:r>
        <w:rPr>
          <w:rFonts w:hint="eastAsia" w:ascii="宋体" w:hAnsi="宋体" w:eastAsia="宋体" w:cs="宋体"/>
          <w:lang w:val="en-US"/>
        </w:rPr>
        <w:t>体标准制定计划</w:t>
      </w:r>
      <w:r>
        <w:rPr>
          <w:rFonts w:hint="eastAsia" w:ascii="宋体" w:hAnsi="宋体" w:eastAsia="宋体" w:cs="宋体"/>
          <w:highlight w:val="none"/>
          <w:lang w:val="en-US"/>
        </w:rPr>
        <w:t>，</w:t>
      </w:r>
      <w:r>
        <w:rPr>
          <w:rFonts w:hint="eastAsia" w:ascii="宋体" w:hAnsi="宋体" w:eastAsia="宋体" w:cs="宋体"/>
          <w:lang w:val="en-US"/>
        </w:rPr>
        <w:t>项目名称为《</w:t>
      </w:r>
      <w:r>
        <w:rPr>
          <w:rFonts w:hint="eastAsia" w:ascii="宋体" w:hAnsi="宋体" w:cs="宋体"/>
          <w:lang w:val="en-US" w:eastAsia="zh-CN"/>
        </w:rPr>
        <w:t>抗老类妆食同源产品安全性与功效评价</w:t>
      </w:r>
      <w:r>
        <w:rPr>
          <w:rFonts w:hint="eastAsia" w:ascii="宋体" w:hAnsi="宋体" w:eastAsia="宋体" w:cs="宋体"/>
          <w:lang w:val="en-US"/>
        </w:rPr>
        <w:t>》</w:t>
      </w:r>
      <w:r>
        <w:rPr>
          <w:rFonts w:hint="eastAsia" w:ascii="宋体" w:hAnsi="宋体" w:cs="宋体"/>
          <w:lang w:val="en-US" w:eastAsia="zh-CN"/>
        </w:rPr>
        <w:t>项目计划号T/CEATEC-2026-121</w:t>
      </w:r>
      <w:r>
        <w:rPr>
          <w:rFonts w:hint="eastAsia" w:ascii="宋体" w:hAnsi="宋体" w:eastAsia="宋体" w:cs="宋体"/>
          <w:lang w:val="en-US"/>
        </w:rPr>
        <w:t>的任务而进行制订。</w:t>
      </w:r>
    </w:p>
    <w:p w14:paraId="50A1A6A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（二）起草单位及主要起草人</w:t>
      </w:r>
    </w:p>
    <w:p w14:paraId="166DD15D">
      <w:pPr>
        <w:pStyle w:val="4"/>
        <w:numPr>
          <w:ilvl w:val="0"/>
          <w:numId w:val="0"/>
        </w:numPr>
        <w:spacing w:line="360" w:lineRule="auto"/>
        <w:ind w:firstLine="480" w:firstLineChars="200"/>
        <w:rPr>
          <w:rFonts w:hint="eastAsia"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本文件起草单位：珀莱雅化妆品股份有限公司、山东城市服务职业学院、广东丸美生物医学有限公司、广州美域医学检验有限公司、浙江工业大学。</w:t>
      </w:r>
    </w:p>
    <w:p w14:paraId="718A9020">
      <w:pPr>
        <w:pStyle w:val="4"/>
        <w:numPr>
          <w:ilvl w:val="0"/>
          <w:numId w:val="0"/>
        </w:numPr>
        <w:spacing w:line="360" w:lineRule="auto"/>
        <w:ind w:firstLine="480" w:firstLineChars="200"/>
        <w:rPr>
          <w:rFonts w:hint="eastAsia"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本文件</w:t>
      </w:r>
      <w:r>
        <w:rPr>
          <w:rFonts w:hint="eastAsia" w:ascii="Times New Roman" w:hAnsi="Times New Roman" w:cs="Times New Roman"/>
          <w:b w:val="0"/>
          <w:bCs w:val="0"/>
          <w:color w:val="auto"/>
          <w:sz w:val="24"/>
          <w:szCs w:val="24"/>
          <w:lang w:val="en-US" w:eastAsia="zh-CN"/>
        </w:rPr>
        <w:t>主要</w:t>
      </w:r>
      <w:r>
        <w:rPr>
          <w:rFonts w:hint="eastAsia" w:ascii="Times New Roman" w:hAnsi="Times New Roman" w:cs="Times New Roman"/>
          <w:b w:val="0"/>
          <w:bCs w:val="0"/>
          <w:color w:val="auto"/>
          <w:sz w:val="24"/>
          <w:szCs w:val="24"/>
        </w:rPr>
        <w:t>起草人：孙培文、汪奕峰、杨剑超、邱筱媛、孙怀庆、聂艳峰、邵平、常晓维、廖峰、孙淑蓉、王珏、张筱双、孙姣晶、宋雁鸣</w:t>
      </w:r>
      <w:bookmarkStart w:id="0" w:name="_GoBack"/>
      <w:bookmarkEnd w:id="0"/>
      <w:r>
        <w:rPr>
          <w:rFonts w:hint="eastAsia" w:ascii="Times New Roman" w:hAnsi="Times New Roman" w:cs="Times New Roman"/>
          <w:b w:val="0"/>
          <w:bCs w:val="0"/>
          <w:color w:val="auto"/>
          <w:sz w:val="24"/>
          <w:szCs w:val="24"/>
        </w:rPr>
        <w:t>。</w:t>
      </w:r>
    </w:p>
    <w:p w14:paraId="58F93C67">
      <w:pPr>
        <w:pStyle w:val="4"/>
        <w:numPr>
          <w:ilvl w:val="0"/>
          <w:numId w:val="0"/>
        </w:numPr>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三</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标准制定目的和意义</w:t>
      </w:r>
    </w:p>
    <w:p w14:paraId="646388F3">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sz w:val="24"/>
          <w:szCs w:val="24"/>
        </w:rPr>
      </w:pPr>
      <w:r>
        <w:rPr>
          <w:rFonts w:hint="eastAsia"/>
          <w:sz w:val="24"/>
          <w:szCs w:val="24"/>
        </w:rPr>
        <w:t>从产业角度分析，制定《</w:t>
      </w:r>
      <w:r>
        <w:rPr>
          <w:rFonts w:hint="eastAsia"/>
          <w:sz w:val="24"/>
          <w:szCs w:val="24"/>
          <w:lang w:eastAsia="zh-CN"/>
        </w:rPr>
        <w:t>抗老类妆食同源产品安全性与功效评价</w:t>
      </w:r>
      <w:r>
        <w:rPr>
          <w:rFonts w:hint="eastAsia"/>
          <w:sz w:val="24"/>
          <w:szCs w:val="24"/>
        </w:rPr>
        <w:t>》团体标准的目的和意义主要体现在以下几个方面：</w:t>
      </w:r>
    </w:p>
    <w:p w14:paraId="53F75B36">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目的</w:t>
      </w:r>
    </w:p>
    <w:p w14:paraId="2F157EFF">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eastAsia="宋体"/>
          <w:sz w:val="24"/>
          <w:szCs w:val="24"/>
          <w:lang w:eastAsia="zh-CN"/>
        </w:rPr>
      </w:pPr>
      <w:r>
        <w:rPr>
          <w:rFonts w:hint="eastAsia"/>
          <w:sz w:val="24"/>
          <w:szCs w:val="24"/>
          <w:lang w:val="en-US" w:eastAsia="zh-CN"/>
        </w:rPr>
        <w:t>该</w:t>
      </w:r>
      <w:r>
        <w:rPr>
          <w:rFonts w:hint="eastAsia"/>
          <w:sz w:val="24"/>
          <w:szCs w:val="24"/>
        </w:rPr>
        <w:t>标准旨在规范妆食同源抗老类产品的原料选用、生产管控、安全阈值界定及功效评价全流程要求。当前此类产品市场品类繁杂、配方体系各异，缺乏统一的安全判定依据与科学功效评价方法，部分产品存在原料混用、宣称夸大、评价方式不规范等乱象。本标准意在建立统一的术语定义、原料准入准则、安全检测指标、人体与体外功效评价流程，明确抗老相关功效的评价维度与判定依据，统一行业评价尺度，引导企业依规研发生产，杜绝虚假宣传，为市场监管、检验检测及行业自律提供统一技术遵循，规范产业良性发展秩序</w:t>
      </w:r>
      <w:r>
        <w:rPr>
          <w:rFonts w:hint="eastAsia"/>
          <w:sz w:val="24"/>
          <w:szCs w:val="24"/>
          <w:lang w:eastAsia="zh-CN"/>
        </w:rPr>
        <w:t>。</w:t>
      </w:r>
    </w:p>
    <w:p w14:paraId="154E3FC0">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意义</w:t>
      </w:r>
    </w:p>
    <w:p w14:paraId="3EBF1492">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制定本标准具有重要产业价值与社会民生意义，妆食同源抗老产品契合大健康与美容消费升级趋势，产业市场规模持续扩容，已成为健康美妆融合发展的重要领域。目前行业缺少专项评价标准，易造成产品质量参差不齐、市场竞争无序，也给市场监管带来较大难度。通过建立统一安全与功效评价规范，可补齐妆食同源抗老领域标准空白，提升产品安全管控水平与功效评价科学性，助力企业提升研发与品质管控能力，保障消费者使用安全与合法权益。同时推动妆食同源产业标准化、规范化、高端化发展，夯实行业发展根基，提升国内相关产品市场竞争力与行业话语权。</w:t>
      </w:r>
    </w:p>
    <w:p w14:paraId="7154C64F">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综上，制定《</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抗老类妆食同源产品安全性与功效评价</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》团体标准对于促进产业健康发展、推动技术创新、保障消费者权益以及增强行业竞争力等方面都具有重要意义。</w:t>
      </w:r>
    </w:p>
    <w:p w14:paraId="1A56508C">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（四）主要工作过程</w:t>
      </w:r>
    </w:p>
    <w:p w14:paraId="43685BE8">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1.前期准备工作</w:t>
      </w:r>
    </w:p>
    <w:p w14:paraId="39DEC089">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项目立项前，标准编制小组查阅、研读相关国内外文献，广泛搜集相关的材料。同时，标准编制小组安排相关人员，多次与相关行业人员进行调研、交流，广泛征求标准制定方面的意见和建议。</w:t>
      </w:r>
    </w:p>
    <w:p w14:paraId="1011C0BA">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28日</w:t>
      </w:r>
      <w:r>
        <w:rPr>
          <w:rFonts w:hint="eastAsia" w:ascii="宋体" w:hAnsi="宋体" w:eastAsia="宋体" w:cs="宋体"/>
          <w:color w:val="000000" w:themeColor="text1"/>
          <w:highlight w:val="none"/>
          <w:lang w:val="en-US" w:eastAsia="zh-CN"/>
          <w14:textFill>
            <w14:solidFill>
              <w14:schemeClr w14:val="tx1"/>
            </w14:solidFill>
          </w14:textFill>
        </w:rPr>
        <w:t>本团体标准由中国欧洲经济技术合作协会正式立项，立项名称为：</w:t>
      </w:r>
      <w:r>
        <w:rPr>
          <w:rFonts w:hint="eastAsia" w:ascii="宋体" w:hAnsi="宋体" w:eastAsia="宋体" w:cs="宋体"/>
          <w:lang w:val="en-US"/>
        </w:rPr>
        <w:t>《</w:t>
      </w:r>
      <w:r>
        <w:rPr>
          <w:rFonts w:hint="eastAsia" w:ascii="宋体" w:hAnsi="宋体" w:cs="宋体"/>
          <w:lang w:val="en-US" w:eastAsia="zh-CN"/>
        </w:rPr>
        <w:t>抗老类妆食同源产品安全性与功效评价</w:t>
      </w:r>
      <w:r>
        <w:rPr>
          <w:rFonts w:hint="eastAsia" w:ascii="宋体" w:hAnsi="宋体" w:eastAsia="宋体" w:cs="宋体"/>
          <w:lang w:val="en-US"/>
        </w:rPr>
        <w:t>》</w:t>
      </w:r>
      <w:r>
        <w:rPr>
          <w:rFonts w:hint="eastAsia" w:ascii="宋体" w:hAnsi="宋体" w:eastAsia="宋体" w:cs="宋体"/>
          <w:color w:val="000000" w:themeColor="text1"/>
          <w:highlight w:val="none"/>
          <w:lang w:val="en-US" w:eastAsia="zh-CN"/>
          <w14:textFill>
            <w14:solidFill>
              <w14:schemeClr w14:val="tx1"/>
            </w14:solidFill>
          </w14:textFill>
        </w:rPr>
        <w:t>。</w:t>
      </w:r>
    </w:p>
    <w:p w14:paraId="50B22881">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2.标准起草过程</w:t>
      </w:r>
    </w:p>
    <w:p w14:paraId="2442C1C6">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团体标准立项通知公示后，标准编制小组首先组织了标准制定工作会议，各编写人员根据工作计划分工和编写要求开展了相关工作。在标准起草期间，编制小组主编单位及参编单位组织了数次内部研讨会和专家咨询会，经过多次修改，于</w:t>
      </w:r>
      <w:r>
        <w:rPr>
          <w:rFonts w:hint="eastAsia" w:ascii="宋体" w:hAnsi="宋体" w:eastAsia="宋体" w:cs="宋体"/>
          <w:color w:val="000000" w:themeColor="text1"/>
          <w:highlight w:val="none"/>
          <w:lang w:val="en-US"/>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初完成了标准初稿及编制说明的撰写工作。</w:t>
      </w:r>
    </w:p>
    <w:p w14:paraId="1EA2EC11">
      <w:pPr>
        <w:numPr>
          <w:ilvl w:val="0"/>
          <w:numId w:val="3"/>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标准编制原则和依据</w:t>
      </w:r>
    </w:p>
    <w:p w14:paraId="027E0F0D">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（一）编制原则</w:t>
      </w:r>
    </w:p>
    <w:p w14:paraId="2F121084">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标准起草小组在编制标准过程中，以国家、行业现有的标准为制订基础，结合我国目前的行业现状，按照GB/T 1.1—2020《标准化工作导则 第1部分：标准化文件的结构和起草规则》的规定及相关要求编制。</w:t>
      </w:r>
    </w:p>
    <w:p w14:paraId="4B758C3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（二）标准主要内容与确定依据</w:t>
      </w:r>
    </w:p>
    <w:p w14:paraId="1E2069BD">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1.标准主要内容</w:t>
      </w:r>
    </w:p>
    <w:p w14:paraId="066FC14A">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 1范围</w:t>
      </w:r>
    </w:p>
    <w:p w14:paraId="2D2DB0DC">
      <w:pPr>
        <w:pStyle w:val="4"/>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本文件适用于抗老类妆食同源产品安全性与功效评价。</w:t>
      </w:r>
    </w:p>
    <w:p w14:paraId="5673A44B">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 规范性引用文件</w:t>
      </w:r>
    </w:p>
    <w:p w14:paraId="7F5E5C23">
      <w:pPr>
        <w:pStyle w:val="4"/>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GB/T 29680  化妆品中防腐剂的测定</w:t>
      </w:r>
    </w:p>
    <w:p w14:paraId="7CE6A935">
      <w:pPr>
        <w:pStyle w:val="4"/>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QB/T 4256  化妆品保湿功效评价指南</w:t>
      </w:r>
    </w:p>
    <w:p w14:paraId="0ABC2B8C">
      <w:pPr>
        <w:pStyle w:val="4"/>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‌T/FDSA 0097  化妆品抗皱紧致舒缓功效宣称评测方法</w:t>
      </w:r>
    </w:p>
    <w:p w14:paraId="27BBFD93">
      <w:pPr>
        <w:pStyle w:val="4"/>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T/CAB 0152  化妆品抗皱、紧致、保湿、控油、修护、滋养、舒缓七项功效测试方法</w:t>
      </w:r>
    </w:p>
    <w:p w14:paraId="2A49A012">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1.3 术语和定义</w:t>
      </w:r>
    </w:p>
    <w:p w14:paraId="6B6CC930">
      <w:pPr>
        <w:pStyle w:val="22"/>
        <w:keepNext w:val="0"/>
        <w:keepLines w:val="0"/>
        <w:pageBreakBefore w:val="0"/>
        <w:widowControl/>
        <w:kinsoku/>
        <w:wordWrap/>
        <w:overflowPunct/>
        <w:topLinePunct w:val="0"/>
        <w:autoSpaceDE w:val="0"/>
        <w:autoSpaceDN w:val="0"/>
        <w:bidi w:val="0"/>
        <w:adjustRightInd/>
        <w:snapToGrid/>
        <w:spacing w:beforeLines="0" w:afterLines="0" w:line="360" w:lineRule="auto"/>
        <w:ind w:firstLine="36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妆食同源原料 cosmetic-food homologous substance</w:t>
      </w:r>
    </w:p>
    <w:p w14:paraId="14837AE6">
      <w:pPr>
        <w:pStyle w:val="22"/>
        <w:keepNext w:val="0"/>
        <w:keepLines w:val="0"/>
        <w:pageBreakBefore w:val="0"/>
        <w:widowControl/>
        <w:kinsoku/>
        <w:wordWrap/>
        <w:overflowPunct/>
        <w:topLinePunct w:val="0"/>
        <w:autoSpaceDE w:val="0"/>
        <w:autoSpaceDN w:val="0"/>
        <w:bidi w:val="0"/>
        <w:adjustRightInd/>
        <w:snapToGrid/>
        <w:spacing w:beforeLines="0" w:afterLines="0" w:line="360" w:lineRule="auto"/>
        <w:ind w:firstLine="36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指源自同一基原，或为化学结构相同的同一物质，相应核心成分无论经天然提取、生物制备或化学合成获得，分别符合化妆品原料与食品原料相关管理规定，具有安全食（使）用历史，可应用于化妆品或食品生产的原料及其加工制品。</w:t>
      </w:r>
    </w:p>
    <w:p w14:paraId="746EB5BE">
      <w:pPr>
        <w:pStyle w:val="22"/>
        <w:keepNext w:val="0"/>
        <w:keepLines w:val="0"/>
        <w:pageBreakBefore w:val="0"/>
        <w:widowControl/>
        <w:kinsoku/>
        <w:wordWrap/>
        <w:overflowPunct/>
        <w:topLinePunct w:val="0"/>
        <w:autoSpaceDE w:val="0"/>
        <w:autoSpaceDN w:val="0"/>
        <w:bidi w:val="0"/>
        <w:adjustRightInd/>
        <w:snapToGrid/>
        <w:spacing w:beforeLines="0" w:afterLines="0" w:line="360" w:lineRule="auto"/>
        <w:ind w:firstLine="36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妆食同源产品 cosmetic-food homologous product</w:t>
      </w:r>
    </w:p>
    <w:p w14:paraId="6BFFBE8D">
      <w:pPr>
        <w:pStyle w:val="22"/>
        <w:keepNext w:val="0"/>
        <w:keepLines w:val="0"/>
        <w:pageBreakBefore w:val="0"/>
        <w:widowControl/>
        <w:kinsoku/>
        <w:wordWrap/>
        <w:overflowPunct/>
        <w:topLinePunct w:val="0"/>
        <w:autoSpaceDE w:val="0"/>
        <w:autoSpaceDN w:val="0"/>
        <w:bidi w:val="0"/>
        <w:adjustRightInd/>
        <w:snapToGrid/>
        <w:spacing w:beforeLines="0" w:afterLines="0" w:line="360" w:lineRule="auto"/>
        <w:ind w:firstLine="36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采用妆食同源原料，通过内服（系统调节）和/或外用（局部护理）实现皮肤健康与美容的创新食品和/或化妆品。</w:t>
      </w:r>
    </w:p>
    <w:p w14:paraId="0A12C8F6">
      <w:pPr>
        <w:pStyle w:val="22"/>
        <w:keepNext w:val="0"/>
        <w:keepLines w:val="0"/>
        <w:pageBreakBefore w:val="0"/>
        <w:widowControl/>
        <w:kinsoku/>
        <w:wordWrap/>
        <w:overflowPunct/>
        <w:topLinePunct w:val="0"/>
        <w:autoSpaceDE w:val="0"/>
        <w:autoSpaceDN w:val="0"/>
        <w:bidi w:val="0"/>
        <w:adjustRightInd/>
        <w:snapToGrid/>
        <w:spacing w:beforeLines="0" w:afterLines="0" w:line="360" w:lineRule="auto"/>
        <w:ind w:firstLine="36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抗老类妆食同源产品 anti-aging cosmetic-food homologous product</w:t>
      </w:r>
    </w:p>
    <w:p w14:paraId="6DF06EEE">
      <w:pPr>
        <w:pStyle w:val="22"/>
        <w:keepNext w:val="0"/>
        <w:keepLines w:val="0"/>
        <w:pageBreakBefore w:val="0"/>
        <w:widowControl/>
        <w:kinsoku/>
        <w:wordWrap/>
        <w:overflowPunct/>
        <w:topLinePunct w:val="0"/>
        <w:autoSpaceDE w:val="0"/>
        <w:autoSpaceDN w:val="0"/>
        <w:bidi w:val="0"/>
        <w:adjustRightInd/>
        <w:snapToGrid/>
        <w:spacing w:beforeLines="0" w:afterLines="0" w:line="360" w:lineRule="auto"/>
        <w:ind w:firstLine="36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指通过内服和/或外用方式，旨在延缓、减轻或改善内源性和外源性的皮肤生理功能衰退及外观表征改变（如皱纹、松弛、干燥、色素沉着等）的抗衰老类妆食同源产品。</w:t>
      </w:r>
    </w:p>
    <w:p w14:paraId="28396E05">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1.4 </w:t>
      </w:r>
      <w:r>
        <w:rPr>
          <w:rFonts w:hint="eastAsia" w:ascii="宋体" w:hAnsi="宋体" w:cs="宋体"/>
          <w:b w:val="0"/>
          <w:bCs w:val="0"/>
          <w:color w:val="auto"/>
          <w:sz w:val="24"/>
          <w:szCs w:val="24"/>
          <w:lang w:val="en-US" w:eastAsia="zh-CN"/>
        </w:rPr>
        <w:t>总则</w:t>
      </w:r>
    </w:p>
    <w:p w14:paraId="6FCAEAE6">
      <w:pPr>
        <w:pStyle w:val="4"/>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对产品所用妆食同源原料规定。</w:t>
      </w:r>
    </w:p>
    <w:p w14:paraId="2A689905">
      <w:pPr>
        <w:pStyle w:val="4"/>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1.5 </w:t>
      </w:r>
      <w:r>
        <w:rPr>
          <w:rFonts w:hint="eastAsia" w:ascii="宋体" w:hAnsi="宋体" w:cs="宋体"/>
          <w:b w:val="0"/>
          <w:bCs w:val="0"/>
          <w:color w:val="auto"/>
          <w:sz w:val="24"/>
          <w:szCs w:val="24"/>
          <w:lang w:val="en-US" w:eastAsia="zh-CN"/>
        </w:rPr>
        <w:t>产品分类</w:t>
      </w:r>
    </w:p>
    <w:p w14:paraId="5D583C23">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对产品进行分类。</w:t>
      </w:r>
    </w:p>
    <w:p w14:paraId="6B93CC0F">
      <w:pPr>
        <w:pStyle w:val="4"/>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1.6 </w:t>
      </w:r>
      <w:r>
        <w:rPr>
          <w:rFonts w:hint="eastAsia" w:ascii="宋体" w:hAnsi="宋体" w:cs="宋体"/>
          <w:b w:val="0"/>
          <w:bCs w:val="0"/>
          <w:color w:val="auto"/>
          <w:sz w:val="24"/>
          <w:szCs w:val="24"/>
          <w:lang w:val="en-US" w:eastAsia="zh-CN"/>
        </w:rPr>
        <w:t>安全性评价</w:t>
      </w:r>
    </w:p>
    <w:p w14:paraId="4CC3A668">
      <w:pPr>
        <w:pStyle w:val="4"/>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原料安全性、化妆品安全性、食品、化妆品联合应用的安全性评价进行安全性评价。</w:t>
      </w:r>
    </w:p>
    <w:p w14:paraId="03C60AB6">
      <w:pPr>
        <w:pStyle w:val="4"/>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7</w:t>
      </w:r>
      <w:r>
        <w:rPr>
          <w:rFonts w:hint="eastAsia" w:ascii="宋体" w:hAnsi="宋体" w:eastAsia="宋体" w:cs="宋体"/>
          <w:b w:val="0"/>
          <w:bCs w:val="0"/>
          <w:color w:val="auto"/>
          <w:sz w:val="24"/>
          <w:szCs w:val="24"/>
          <w:lang w:val="en-US" w:eastAsia="zh-CN"/>
        </w:rPr>
        <w:t xml:space="preserve"> </w:t>
      </w:r>
      <w:r>
        <w:rPr>
          <w:rFonts w:hint="eastAsia" w:ascii="宋体" w:hAnsi="宋体" w:cs="宋体"/>
          <w:b w:val="0"/>
          <w:bCs w:val="0"/>
          <w:color w:val="auto"/>
          <w:sz w:val="24"/>
          <w:szCs w:val="24"/>
          <w:lang w:val="en-US" w:eastAsia="zh-CN"/>
        </w:rPr>
        <w:t>功效性评价</w:t>
      </w:r>
    </w:p>
    <w:p w14:paraId="60BAB1BB">
      <w:pPr>
        <w:pStyle w:val="4"/>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从评价原则、评价指标、评价试验要求进行规定。</w:t>
      </w:r>
    </w:p>
    <w:p w14:paraId="60EA2A54">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2.确定标准主要内容的依据</w:t>
      </w:r>
    </w:p>
    <w:p w14:paraId="3EEF6842">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依据国家现行法规及现行标准规范，参照GB/T 29680《化妆品中防腐剂的测定》、QB/T 4256《化妆品保湿功效评价指南》等相关国标与行业标准，为本文件在原料遴选、质量控制、技术流程及评价体系搭建方面奠定规范基础，提供成熟的编制框架与合规依据。同时紧密结合行业生产实践与市场实际应用需求，充分兼顾妆食同源抗老类产品的配方特性、食用与护肤双重属性，统筹安全管控边界与功效评价实际场景，保证标准条款贴合产业实操、具备落地适用性。依托现有技术研究成果与多批次试验验证数据，采用理化检测、体外评价及相关试验分析手段，对产品安全风险因子、抗老功效作用机制与评价维度开展系统研究，为标准中试验原理、检测条件、评价流程及判定规则的设定提供科学数据支撑。同时借鉴国际同类产品安全管控与功效评价先进理念及成熟经验，结合国内产业发展水平、消费特征与监管实际进行本土化适配，保障标准兼具科学性、先进性与适配性。此外遵循质量管理体系规范要求，明确统一样品处理、试验流程及数据研判准则，全程严控流程偏差，确保评价结果客观公正、准确可溯源。</w:t>
      </w:r>
    </w:p>
    <w:p w14:paraId="0523CAD7">
      <w:pPr>
        <w:numPr>
          <w:ilvl w:val="0"/>
          <w:numId w:val="3"/>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主要试验[或验证]情况分析、技术经济论证、预期经济效果</w:t>
      </w:r>
    </w:p>
    <w:p w14:paraId="3B4E644B">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试验情况的分析包括对抗老类妆食同源产品在各种使用及储存环境下的性能测试，以及产品安全性、抗老功效等核心指标测试。测试还涉及模拟产品在日常食用、外用护肤等不同使用场景下的适用性，以评估产品的稳定性、安全性及抗老功效的有效性。关键试验包括但不限于急性毒性测试、皮肤刺激性测试、体外抗氧化测试、人体抗老功效评价等。通过这些试验，确定产品的安全阈值与功效评价指标，确保在标准化测试中能够准确反映产品在实际使用环境下的安全性能与抗老功效表现，为标准条款制定提供坚实试验支撑。</w:t>
      </w:r>
    </w:p>
    <w:p w14:paraId="011971E5">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从技术经济角度出发，制定《抗老类妆食同源产品安全性与功效评价》团体标准具有重要意义。一方面，通过规范产品原料筛选、生产工艺管控及检测流程，优化产品配方设计与生产环节，可显著提高抗老类妆食同源产品的安全稳定性与功效一致性，这些规范不仅提升了产品核心品质，还可优化生产流程、减少无效投入，缩短生产周期，降低企业研发与生产成本。另一方面，标准的制定能够规范市场秩序，杜绝虚假功效宣称、原料不合规等乱象，减少因产品安全问题、功效不符导致的消费纠纷与企业声誉损失，降低企业的售后维权成本。此外，通过标准化的测试方法，企业能够更好地评估原料适配性与工艺改进效果，从而推动行业技术创新与产业升级。</w:t>
      </w:r>
    </w:p>
    <w:p w14:paraId="02CAD28F">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预期经济效果主要体现在提升产品质量、降低生产成本和增强市场竞争力上。首先，标准化的安全性与功效测试方法能够确保抗老类妆食同源产品在研发和生产阶段的质量一致性，减少因产品安全不达标、功效不符导致的召回、退货及投诉成本。其次，通过规范原料选用与生产工艺，企业能够降低原料浪费和能源消耗，提高生产效率，实现节能降耗、降本增效。</w:t>
      </w:r>
    </w:p>
    <w:p w14:paraId="46C705F4">
      <w:pPr>
        <w:numPr>
          <w:ilvl w:val="0"/>
          <w:numId w:val="3"/>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与有关的现行法律、法规和强制性国家标准的关系</w:t>
      </w:r>
    </w:p>
    <w:p w14:paraId="5D5F9222">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本标准的制定过程、技术要求的选定、试验方法的确定、检验项目设置等符合现行法律、法规和强制性国家标准的规定。</w:t>
      </w:r>
    </w:p>
    <w:p w14:paraId="680010EF">
      <w:pPr>
        <w:numPr>
          <w:ilvl w:val="0"/>
          <w:numId w:val="3"/>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重大分歧意见的处理经过和依据</w:t>
      </w:r>
    </w:p>
    <w:p w14:paraId="3077AA40">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无。</w:t>
      </w:r>
    </w:p>
    <w:p w14:paraId="0060610B">
      <w:pPr>
        <w:numPr>
          <w:ilvl w:val="0"/>
          <w:numId w:val="3"/>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废止现行有关标准的建议</w:t>
      </w:r>
    </w:p>
    <w:p w14:paraId="64405480">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本标准不涉及对现行标准的废止。</w:t>
      </w:r>
    </w:p>
    <w:p w14:paraId="27E7AEC3">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知识产权情况说明</w:t>
      </w:r>
    </w:p>
    <w:p w14:paraId="2A4021B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本文件不涉及必要专利等知识产权情况。</w:t>
      </w:r>
    </w:p>
    <w:p w14:paraId="3796DFA6">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标准作为强制性或推荐性标准的建议</w:t>
      </w:r>
    </w:p>
    <w:p w14:paraId="5D40E7F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建议该标准作为推荐性团体标准。</w:t>
      </w:r>
    </w:p>
    <w:p w14:paraId="49183D48">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贯彻标准的要求和措施建议，包括（组织措施、技术措施、过渡办法）</w:t>
      </w:r>
    </w:p>
    <w:p w14:paraId="5142A3D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本标准首次制定，没有特殊要求。</w:t>
      </w:r>
    </w:p>
    <w:p w14:paraId="448306B4">
      <w:pPr>
        <w:numPr>
          <w:ilvl w:val="0"/>
          <w:numId w:val="3"/>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其他应予说明的事项</w:t>
      </w:r>
    </w:p>
    <w:p w14:paraId="0A76F638">
      <w:pPr>
        <w:adjustRightInd/>
        <w:spacing w:line="520" w:lineRule="exact"/>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无。 </w:t>
      </w:r>
    </w:p>
    <w:p w14:paraId="31732363">
      <w:pPr>
        <w:adjustRightInd/>
        <w:spacing w:line="520" w:lineRule="exact"/>
        <w:rPr>
          <w:rFonts w:hint="eastAsia" w:ascii="Times New Roman" w:hAnsi="Times New Roman" w:eastAsia="宋体" w:cs="Times New Roman"/>
          <w:b w:val="0"/>
          <w:bCs w:val="0"/>
          <w:color w:val="auto"/>
          <w:kern w:val="2"/>
          <w:sz w:val="24"/>
          <w:szCs w:val="24"/>
          <w:lang w:val="en-US" w:eastAsia="zh-CN" w:bidi="ar-SA"/>
        </w:rPr>
      </w:pPr>
    </w:p>
    <w:p w14:paraId="0F12174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w:t>
      </w:r>
      <w:r>
        <w:rPr>
          <w:rFonts w:hint="eastAsia" w:ascii="宋体" w:hAnsi="宋体" w:cs="宋体"/>
          <w:b w:val="0"/>
          <w:bCs w:val="0"/>
          <w:color w:val="auto"/>
          <w:kern w:val="2"/>
          <w:sz w:val="24"/>
          <w:szCs w:val="24"/>
          <w:lang w:val="en-US" w:eastAsia="zh-CN" w:bidi="ar-SA"/>
        </w:rPr>
        <w:t>抗老类妆食同源产品安全性与功效评价</w:t>
      </w:r>
      <w:r>
        <w:rPr>
          <w:rFonts w:hint="eastAsia" w:ascii="宋体" w:hAnsi="宋体" w:eastAsia="宋体" w:cs="宋体"/>
          <w:b w:val="0"/>
          <w:bCs w:val="0"/>
          <w:color w:val="auto"/>
          <w:kern w:val="2"/>
          <w:sz w:val="24"/>
          <w:szCs w:val="24"/>
          <w:lang w:val="en-US" w:eastAsia="zh-CN" w:bidi="ar-SA"/>
        </w:rPr>
        <w:t>》团体标准编制组</w:t>
      </w:r>
    </w:p>
    <w:p w14:paraId="0E927A6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202</w:t>
      </w:r>
      <w:r>
        <w:rPr>
          <w:rFonts w:hint="eastAsia" w:ascii="宋体" w:hAnsi="宋体" w:cs="宋体"/>
          <w:b w:val="0"/>
          <w:bCs w:val="0"/>
          <w:color w:val="auto"/>
          <w:kern w:val="2"/>
          <w:sz w:val="24"/>
          <w:szCs w:val="24"/>
          <w:lang w:val="en-US" w:eastAsia="zh-CN" w:bidi="ar-SA"/>
        </w:rPr>
        <w:t>6</w:t>
      </w:r>
      <w:r>
        <w:rPr>
          <w:rFonts w:hint="eastAsia" w:ascii="宋体" w:hAnsi="宋体" w:eastAsia="宋体" w:cs="宋体"/>
          <w:b w:val="0"/>
          <w:bCs w:val="0"/>
          <w:color w:val="auto"/>
          <w:kern w:val="2"/>
          <w:sz w:val="24"/>
          <w:szCs w:val="24"/>
          <w:lang w:val="en-US" w:eastAsia="zh-CN" w:bidi="ar-SA"/>
        </w:rPr>
        <w:t>年</w:t>
      </w:r>
      <w:r>
        <w:rPr>
          <w:rFonts w:hint="eastAsia" w:ascii="宋体" w:hAnsi="宋体" w:cs="宋体"/>
          <w:b w:val="0"/>
          <w:bCs w:val="0"/>
          <w:color w:val="auto"/>
          <w:kern w:val="2"/>
          <w:sz w:val="24"/>
          <w:szCs w:val="24"/>
          <w:lang w:val="en-US" w:eastAsia="zh-CN" w:bidi="ar-SA"/>
        </w:rPr>
        <w:t>5</w:t>
      </w:r>
      <w:r>
        <w:rPr>
          <w:rFonts w:hint="eastAsia" w:ascii="宋体" w:hAnsi="宋体" w:eastAsia="宋体" w:cs="宋体"/>
          <w:b w:val="0"/>
          <w:bCs w:val="0"/>
          <w:color w:val="auto"/>
          <w:kern w:val="2"/>
          <w:sz w:val="24"/>
          <w:szCs w:val="24"/>
          <w:lang w:val="en-US" w:eastAsia="zh-CN" w:bidi="ar-SA"/>
        </w:rPr>
        <w:t>月</w:t>
      </w:r>
    </w:p>
    <w:sectPr>
      <w:footerReference r:id="rId6" w:type="first"/>
      <w:footerReference r:id="rId5" w:type="default"/>
      <w:pgSz w:w="11906" w:h="16838"/>
      <w:pgMar w:top="1474" w:right="1474" w:bottom="1474" w:left="147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263D">
    <w:pPr>
      <w:pStyle w:val="5"/>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0390F">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80390F">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3D8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E4DD4">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6E4DD4">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7EA28"/>
    <w:multiLevelType w:val="singleLevel"/>
    <w:tmpl w:val="DF77EA28"/>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u w:val="none" w:color="auto"/>
      </w:rPr>
    </w:lvl>
    <w:lvl w:ilvl="1" w:tentative="0">
      <w:start w:val="1"/>
      <w:numFmt w:val="decimal"/>
      <w:pStyle w:val="21"/>
      <w:suff w:val="nothing"/>
      <w:lvlText w:val="%1%2　"/>
      <w:lvlJc w:val="left"/>
      <w:pPr>
        <w:ind w:left="0" w:firstLine="0"/>
      </w:pPr>
      <w:rPr>
        <w:rFonts w:hint="eastAsia" w:ascii="黑体" w:hAnsi="Times New Roman" w:eastAsia="黑体"/>
        <w:sz w:val="21"/>
        <w:u w:val="none" w:color="auto"/>
      </w:rPr>
    </w:lvl>
    <w:lvl w:ilvl="2" w:tentative="0">
      <w:start w:val="1"/>
      <w:numFmt w:val="decimal"/>
      <w:pStyle w:val="20"/>
      <w:suff w:val="nothing"/>
      <w:lvlText w:val="%1%2.%3　"/>
      <w:lvlJc w:val="left"/>
      <w:pPr>
        <w:ind w:left="0" w:firstLine="0"/>
      </w:pPr>
      <w:rPr>
        <w:rFonts w:hint="eastAsia" w:ascii="黑体" w:hAnsi="Times New Roman" w:eastAsia="黑体" w:cs="Times New Roman"/>
        <w:color w:val="000000"/>
        <w:sz w:val="21"/>
        <w:u w:val="none" w:color="000000"/>
      </w:rPr>
    </w:lvl>
    <w:lvl w:ilvl="3" w:tentative="0">
      <w:start w:val="1"/>
      <w:numFmt w:val="decimal"/>
      <w:suff w:val="nothing"/>
      <w:lvlText w:val="%1%2.%3.%4　"/>
      <w:lvlJc w:val="left"/>
      <w:pPr>
        <w:ind w:left="0" w:firstLine="0"/>
      </w:pPr>
      <w:rPr>
        <w:rFonts w:hint="eastAsia" w:ascii="黑体" w:hAnsi="Times New Roman" w:eastAsia="黑体"/>
        <w:sz w:val="21"/>
        <w:u w:val="none" w:color="auto"/>
      </w:rPr>
    </w:lvl>
    <w:lvl w:ilvl="4" w:tentative="0">
      <w:start w:val="1"/>
      <w:numFmt w:val="decimal"/>
      <w:suff w:val="nothing"/>
      <w:lvlText w:val="%1%2.%3.%4.%5　"/>
      <w:lvlJc w:val="left"/>
      <w:pPr>
        <w:ind w:left="0" w:firstLine="0"/>
      </w:pPr>
      <w:rPr>
        <w:rFonts w:hint="eastAsia" w:ascii="黑体" w:hAnsi="Times New Roman" w:eastAsia="黑体"/>
        <w:sz w:val="21"/>
        <w:u w:val="none" w:color="auto"/>
      </w:rPr>
    </w:lvl>
    <w:lvl w:ilvl="5" w:tentative="0">
      <w:start w:val="1"/>
      <w:numFmt w:val="decimal"/>
      <w:suff w:val="nothing"/>
      <w:lvlText w:val="%1%2.%3.%4.%5.%6　"/>
      <w:lvlJc w:val="left"/>
      <w:pPr>
        <w:ind w:left="0" w:firstLine="0"/>
      </w:pPr>
      <w:rPr>
        <w:rFonts w:hint="eastAsia" w:ascii="黑体" w:hAnsi="Times New Roman" w:eastAsia="黑体"/>
        <w:sz w:val="21"/>
        <w:u w:val="none" w:color="auto"/>
      </w:rPr>
    </w:lvl>
    <w:lvl w:ilvl="6" w:tentative="0">
      <w:start w:val="1"/>
      <w:numFmt w:val="decimal"/>
      <w:suff w:val="nothing"/>
      <w:lvlText w:val="%1%2.%3.%4.%5.%6.%7　"/>
      <w:lvlJc w:val="left"/>
      <w:pPr>
        <w:ind w:left="0" w:firstLine="0"/>
      </w:pPr>
      <w:rPr>
        <w:rFonts w:hint="eastAsia" w:ascii="黑体" w:hAnsi="Times New Roman" w:eastAsia="黑体"/>
        <w:sz w:val="21"/>
        <w:u w:val="none" w:color="auto"/>
      </w:rPr>
    </w:lvl>
    <w:lvl w:ilvl="7" w:tentative="0">
      <w:start w:val="1"/>
      <w:numFmt w:val="decimal"/>
      <w:lvlText w:val="%1.%2.%3.%4.%5.%6.%7.%8"/>
      <w:lvlJc w:val="left"/>
      <w:pPr>
        <w:tabs>
          <w:tab w:val="left" w:pos="4351"/>
        </w:tabs>
        <w:ind w:left="3969" w:hanging="1418"/>
      </w:pPr>
      <w:rPr>
        <w:rFonts w:hint="default"/>
        <w:u w:val="none" w:color="auto"/>
      </w:rPr>
    </w:lvl>
    <w:lvl w:ilvl="8" w:tentative="0">
      <w:start w:val="1"/>
      <w:numFmt w:val="decimal"/>
      <w:lvlText w:val="%1.%2.%3.%4.%5.%6.%7.%8.%9"/>
      <w:lvlJc w:val="left"/>
      <w:pPr>
        <w:tabs>
          <w:tab w:val="left" w:pos="4777"/>
        </w:tabs>
        <w:ind w:left="4677" w:hanging="1700"/>
      </w:pPr>
      <w:rPr>
        <w:rFonts w:hint="default"/>
        <w:u w:val="none" w:color="auto"/>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MzE1NmU5NGVjNjg2MzIyYjQyMTM1ZjkxNWYxOTEifQ=="/>
  </w:docVars>
  <w:rsids>
    <w:rsidRoot w:val="00172A27"/>
    <w:rsid w:val="00003F8E"/>
    <w:rsid w:val="00031262"/>
    <w:rsid w:val="000678C8"/>
    <w:rsid w:val="000C2941"/>
    <w:rsid w:val="001E0BCA"/>
    <w:rsid w:val="0022665B"/>
    <w:rsid w:val="002D5E86"/>
    <w:rsid w:val="00316E46"/>
    <w:rsid w:val="00396248"/>
    <w:rsid w:val="00480E96"/>
    <w:rsid w:val="004A39DC"/>
    <w:rsid w:val="00582A2F"/>
    <w:rsid w:val="005C11CB"/>
    <w:rsid w:val="005E679A"/>
    <w:rsid w:val="00656B83"/>
    <w:rsid w:val="0069157B"/>
    <w:rsid w:val="006D57C9"/>
    <w:rsid w:val="00780B13"/>
    <w:rsid w:val="007A6776"/>
    <w:rsid w:val="00877D40"/>
    <w:rsid w:val="00920FC6"/>
    <w:rsid w:val="009365DD"/>
    <w:rsid w:val="00953173"/>
    <w:rsid w:val="00953DD1"/>
    <w:rsid w:val="009B2A7D"/>
    <w:rsid w:val="009F158D"/>
    <w:rsid w:val="00A450BA"/>
    <w:rsid w:val="00AD07F2"/>
    <w:rsid w:val="00AE10C4"/>
    <w:rsid w:val="00B25D6A"/>
    <w:rsid w:val="00BE37FD"/>
    <w:rsid w:val="00BF2017"/>
    <w:rsid w:val="00D30CDC"/>
    <w:rsid w:val="00D468A7"/>
    <w:rsid w:val="00DF18E0"/>
    <w:rsid w:val="00EC3847"/>
    <w:rsid w:val="00EF14A0"/>
    <w:rsid w:val="00F339D1"/>
    <w:rsid w:val="00F371BA"/>
    <w:rsid w:val="00F663F7"/>
    <w:rsid w:val="00F9799E"/>
    <w:rsid w:val="00F97C40"/>
    <w:rsid w:val="00FD38D1"/>
    <w:rsid w:val="00FD47E3"/>
    <w:rsid w:val="026D6E02"/>
    <w:rsid w:val="02F25185"/>
    <w:rsid w:val="09D021AA"/>
    <w:rsid w:val="09E013D8"/>
    <w:rsid w:val="0E125B51"/>
    <w:rsid w:val="0EF73150"/>
    <w:rsid w:val="10060813"/>
    <w:rsid w:val="11E24C48"/>
    <w:rsid w:val="15E52C78"/>
    <w:rsid w:val="1732672E"/>
    <w:rsid w:val="178A75E4"/>
    <w:rsid w:val="1A554829"/>
    <w:rsid w:val="1C6642AB"/>
    <w:rsid w:val="1E237678"/>
    <w:rsid w:val="1E6E623A"/>
    <w:rsid w:val="202076CF"/>
    <w:rsid w:val="2194727B"/>
    <w:rsid w:val="21CB61A2"/>
    <w:rsid w:val="223573AF"/>
    <w:rsid w:val="22A266A4"/>
    <w:rsid w:val="2656217A"/>
    <w:rsid w:val="27133B25"/>
    <w:rsid w:val="28655A50"/>
    <w:rsid w:val="330927AE"/>
    <w:rsid w:val="358362DE"/>
    <w:rsid w:val="36916617"/>
    <w:rsid w:val="39CE4183"/>
    <w:rsid w:val="3B8D6699"/>
    <w:rsid w:val="3CC33464"/>
    <w:rsid w:val="3D7C74B3"/>
    <w:rsid w:val="3EB47508"/>
    <w:rsid w:val="3EB827C1"/>
    <w:rsid w:val="3F8F0DE9"/>
    <w:rsid w:val="45837C34"/>
    <w:rsid w:val="491238A7"/>
    <w:rsid w:val="4B5072BB"/>
    <w:rsid w:val="4B5510D9"/>
    <w:rsid w:val="52A075B6"/>
    <w:rsid w:val="539A7191"/>
    <w:rsid w:val="59344C26"/>
    <w:rsid w:val="5A3B68D8"/>
    <w:rsid w:val="5BC80BA0"/>
    <w:rsid w:val="5F8F42AD"/>
    <w:rsid w:val="5FB93C59"/>
    <w:rsid w:val="610E43FE"/>
    <w:rsid w:val="61A905CB"/>
    <w:rsid w:val="61EB2350"/>
    <w:rsid w:val="621517BC"/>
    <w:rsid w:val="6299419B"/>
    <w:rsid w:val="63F51786"/>
    <w:rsid w:val="66AD645E"/>
    <w:rsid w:val="67332E10"/>
    <w:rsid w:val="699403C8"/>
    <w:rsid w:val="6B3B6A1E"/>
    <w:rsid w:val="6BB84480"/>
    <w:rsid w:val="70B155EE"/>
    <w:rsid w:val="768B2463"/>
    <w:rsid w:val="77C33D3D"/>
    <w:rsid w:val="7AC202DC"/>
    <w:rsid w:val="7B05054F"/>
    <w:rsid w:val="7BC46246"/>
    <w:rsid w:val="7C55517F"/>
    <w:rsid w:val="7D1F6674"/>
    <w:rsid w:val="7EBB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before="50" w:line="360" w:lineRule="exact"/>
    </w:pPr>
    <w:rPr>
      <w:b/>
      <w:bCs/>
      <w:color w:val="FF0000"/>
      <w:sz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szCs w:val="24"/>
    </w:rPr>
  </w:style>
  <w:style w:type="character" w:styleId="10">
    <w:name w:val="Strong"/>
    <w:basedOn w:val="9"/>
    <w:autoRedefine/>
    <w:qFormat/>
    <w:uiPriority w:val="22"/>
    <w:rPr>
      <w:b/>
      <w:bCs/>
    </w:rPr>
  </w:style>
  <w:style w:type="character" w:customStyle="1" w:styleId="11">
    <w:name w:val="页眉 字符"/>
    <w:basedOn w:val="9"/>
    <w:link w:val="6"/>
    <w:autoRedefine/>
    <w:qFormat/>
    <w:uiPriority w:val="0"/>
    <w:rPr>
      <w:rFonts w:ascii="Calibri" w:hAnsi="Calibri" w:eastAsia="宋体" w:cs="Calibri"/>
      <w:kern w:val="2"/>
      <w:sz w:val="18"/>
      <w:szCs w:val="18"/>
    </w:rPr>
  </w:style>
  <w:style w:type="paragraph" w:customStyle="1" w:styleId="12">
    <w:name w:val="段"/>
    <w:basedOn w:val="1"/>
    <w:link w:val="14"/>
    <w:autoRedefine/>
    <w:qFormat/>
    <w:uiPriority w:val="0"/>
    <w:pPr>
      <w:spacing w:line="240" w:lineRule="auto"/>
      <w:ind w:firstLine="420" w:firstLineChars="200"/>
    </w:pPr>
    <w:rPr>
      <w:rFonts w:ascii="Times New Roman" w:hAnsi="Times New Roman"/>
    </w:rPr>
  </w:style>
  <w:style w:type="character" w:customStyle="1" w:styleId="13">
    <w:name w:val="页脚 字符"/>
    <w:basedOn w:val="9"/>
    <w:link w:val="5"/>
    <w:autoRedefine/>
    <w:qFormat/>
    <w:uiPriority w:val="99"/>
    <w:rPr>
      <w:rFonts w:ascii="Calibri" w:hAnsi="Calibri" w:cs="Calibri"/>
      <w:kern w:val="2"/>
      <w:sz w:val="18"/>
      <w:szCs w:val="18"/>
    </w:rPr>
  </w:style>
  <w:style w:type="character" w:customStyle="1" w:styleId="14">
    <w:name w:val="段 字符"/>
    <w:basedOn w:val="9"/>
    <w:link w:val="12"/>
    <w:autoRedefine/>
    <w:qFormat/>
    <w:uiPriority w:val="0"/>
    <w:rPr>
      <w:rFonts w:cs="Calibri"/>
      <w:kern w:val="2"/>
      <w:sz w:val="21"/>
      <w:szCs w:val="21"/>
    </w:rPr>
  </w:style>
  <w:style w:type="paragraph" w:customStyle="1" w:styleId="15">
    <w:name w:val="正文段落，引导语"/>
    <w:basedOn w:val="12"/>
    <w:autoRedefine/>
    <w:qFormat/>
    <w:uiPriority w:val="0"/>
    <w:rPr>
      <w:rFonts w:ascii="宋体" w:hAnsi="宋体"/>
    </w:rPr>
  </w:style>
  <w:style w:type="paragraph" w:customStyle="1" w:styleId="16">
    <w:name w:val="一级条标题"/>
    <w:next w:val="12"/>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7">
    <w:name w:val="标准文件_页脚奇数页"/>
    <w:unhideWhenUsed/>
    <w:qFormat/>
    <w:uiPriority w:val="0"/>
    <w:pPr>
      <w:spacing w:beforeLines="0" w:afterLines="0"/>
      <w:ind w:right="227"/>
      <w:jc w:val="right"/>
    </w:pPr>
    <w:rPr>
      <w:rFonts w:hint="default" w:ascii="宋体" w:hAnsi="Times New Roman" w:eastAsia="宋体" w:cs="Times New Roman"/>
      <w:sz w:val="18"/>
      <w:szCs w:val="24"/>
      <w:lang w:val="en-US" w:eastAsia="zh-CN" w:bidi="ar-SA"/>
    </w:rPr>
  </w:style>
  <w:style w:type="paragraph" w:customStyle="1" w:styleId="18">
    <w:name w:val="标准文件_术语条一"/>
    <w:basedOn w:val="19"/>
    <w:next w:val="22"/>
    <w:unhideWhenUsed/>
    <w:qFormat/>
    <w:uiPriority w:val="0"/>
    <w:rPr>
      <w:rFonts w:hint="default"/>
      <w:sz w:val="21"/>
      <w:szCs w:val="24"/>
    </w:rPr>
  </w:style>
  <w:style w:type="paragraph" w:customStyle="1" w:styleId="19">
    <w:name w:val="标准文件_一级无标题"/>
    <w:basedOn w:val="20"/>
    <w:unhideWhenUsed/>
    <w:qFormat/>
    <w:uiPriority w:val="0"/>
    <w:pPr>
      <w:spacing w:before="0" w:beforeLines="0" w:after="0" w:afterLines="0"/>
      <w:outlineLvl w:val="9"/>
    </w:pPr>
    <w:rPr>
      <w:rFonts w:hint="default" w:ascii="宋体" w:eastAsia="宋体"/>
      <w:sz w:val="21"/>
      <w:szCs w:val="24"/>
    </w:rPr>
  </w:style>
  <w:style w:type="paragraph" w:customStyle="1" w:styleId="20">
    <w:name w:val="标准文件_一级条标题"/>
    <w:basedOn w:val="21"/>
    <w:next w:val="1"/>
    <w:unhideWhenUsed/>
    <w:qFormat/>
    <w:uiPriority w:val="0"/>
    <w:pPr>
      <w:numPr>
        <w:ilvl w:val="2"/>
      </w:numPr>
      <w:spacing w:before="120" w:beforeLines="50" w:after="120" w:afterLines="50"/>
      <w:outlineLvl w:val="1"/>
    </w:pPr>
    <w:rPr>
      <w:rFonts w:hint="eastAsia"/>
      <w:sz w:val="21"/>
      <w:szCs w:val="24"/>
    </w:rPr>
  </w:style>
  <w:style w:type="paragraph" w:customStyle="1" w:styleId="21">
    <w:name w:val="标准文件_章标题"/>
    <w:next w:val="1"/>
    <w:unhideWhenUsed/>
    <w:qFormat/>
    <w:uiPriority w:val="0"/>
    <w:pPr>
      <w:numPr>
        <w:ilvl w:val="1"/>
        <w:numId w:val="2"/>
      </w:numPr>
      <w:spacing w:before="100" w:beforeLines="100" w:after="100" w:afterLines="100"/>
      <w:jc w:val="both"/>
      <w:outlineLvl w:val="0"/>
    </w:pPr>
    <w:rPr>
      <w:rFonts w:hint="eastAsia" w:ascii="黑体" w:hAnsi="Times New Roman" w:eastAsia="黑体" w:cs="Times New Roman"/>
      <w:sz w:val="21"/>
      <w:szCs w:val="24"/>
      <w:lang w:val="en-US" w:eastAsia="zh-CN" w:bidi="ar-SA"/>
    </w:rPr>
  </w:style>
  <w:style w:type="paragraph" w:customStyle="1" w:styleId="22">
    <w:name w:val="标准文件_段"/>
    <w:unhideWhenUsed/>
    <w:qFormat/>
    <w:uiPriority w:val="0"/>
    <w:pPr>
      <w:autoSpaceDE w:val="0"/>
      <w:autoSpaceDN w:val="0"/>
      <w:spacing w:beforeLines="0" w:afterLines="0"/>
      <w:ind w:firstLine="200" w:firstLineChars="200"/>
      <w:jc w:val="both"/>
    </w:pPr>
    <w:rPr>
      <w:rFonts w:hint="default" w:ascii="宋体"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1428</Words>
  <Characters>1559</Characters>
  <Lines>22</Lines>
  <Paragraphs>6</Paragraphs>
  <TotalTime>25</TotalTime>
  <ScaleCrop>false</ScaleCrop>
  <LinksUpToDate>false</LinksUpToDate>
  <CharactersWithSpaces>1582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2024-02-21T02:44:00Z</dcterms:created>
  <dc:creator>Admin</dc:creator>
  <cp:lastModifiedBy>马宪臣</cp:lastModifiedBy>
  <cp:lastPrinted>2024-05-17T07:43:00Z</cp:lastPrinted>
  <dcterms:modified xsi:type="dcterms:W3CDTF">2026-05-11T06:37:56Z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77B23928A731457FA874104C86DFA847_13</vt:lpwstr>
  </property>
  <property fmtid="{D5CDD505-2E9C-101B-9397-08002B2CF9AE}" pid="4" name="KSOTemplateDocerSaveRecord">
    <vt:lpwstr>eyJoZGlkIjoiYzIxOTVlZWMxZDFiODI1OTQ1OTY0MjZmZTgxYTJlYjAiLCJ1c2VySWQiOiI4ODYxMDg2ODkifQ==</vt:lpwstr>
  </property>
</Properties>
</file>