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2F8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45D4FF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AD2C5B8">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83.12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83.120</w:t>
            </w:r>
            <w:r>
              <w:rPr>
                <w:rFonts w:hint="eastAsia" w:ascii="黑体" w:hAnsi="黑体" w:eastAsia="黑体" w:cs="Times New Roman"/>
                <w:kern w:val="2"/>
                <w:sz w:val="21"/>
                <w:szCs w:val="21"/>
                <w:lang w:val="en-US" w:eastAsia="zh-CN" w:bidi="ar-SA"/>
              </w:rPr>
              <w:fldChar w:fldCharType="end"/>
            </w:r>
            <w:bookmarkEnd w:id="0"/>
          </w:p>
        </w:tc>
      </w:tr>
      <w:tr w14:paraId="3C46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E7826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18484"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gridCol w:w="9242"/>
            </w:tblGrid>
            <w:tr w14:paraId="306278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D81C312">
                  <w:pPr>
                    <w:pStyle w:val="50"/>
                    <w:framePr w:wrap="notBeside" w:vAnchor="page" w:hAnchor="page" w:x="1372" w:y="568"/>
                    <w:ind w:left="420" w:right="624"/>
                    <w:rPr>
                      <w:rFonts w:hint="eastAsia" w:ascii="宋体" w:hAnsi="宋体"/>
                      <w:sz w:val="28"/>
                      <w:szCs w:val="28"/>
                    </w:rPr>
                  </w:pPr>
                  <w:r>
                    <w:rPr>
                      <w:rFonts w:hint="eastAsia" w:ascii="黑体" w:hAnsi="黑体" w:eastAsia="黑体" w:cs="黑体"/>
                      <w:szCs w:val="22"/>
                      <w:lang w:eastAsia="zh-CN"/>
                    </w:rPr>
                    <w:drawing>
                      <wp:anchor distT="0" distB="0" distL="114300" distR="114300" simplePos="0" relativeHeight="251661312"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5" name="图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
                                <pic:cNvPicPr>
                                  <a:picLocks noChangeAspect="1"/>
                                </pic:cNvPicPr>
                              </pic:nvPicPr>
                              <pic:blipFill>
                                <a:blip r:embed="rId17"/>
                                <a:stretch>
                                  <a:fillRect/>
                                </a:stretch>
                              </pic:blipFill>
                              <pic:spPr>
                                <a:xfrm>
                                  <a:off x="0" y="0"/>
                                  <a:ext cx="1048385" cy="1048385"/>
                                </a:xfrm>
                                <a:prstGeom prst="rect">
                                  <a:avLst/>
                                </a:prstGeom>
                              </pic:spPr>
                            </pic:pic>
                          </a:graphicData>
                        </a:graphic>
                      </wp:anchor>
                    </w:drawing>
                  </w:r>
                </w:p>
              </w:tc>
              <w:tc>
                <w:tcPr>
                  <w:tcW w:w="9242" w:type="dxa"/>
                </w:tcPr>
                <w:p w14:paraId="16254F5E">
                  <w:pPr>
                    <w:pStyle w:val="50"/>
                    <w:framePr w:wrap="notBeside" w:vAnchor="page" w:hAnchor="page" w:x="1372" w:y="568"/>
                    <w:ind w:left="420" w:right="624"/>
                  </w:pPr>
                </w:p>
              </w:tc>
            </w:tr>
          </w:tbl>
          <w:p w14:paraId="4CB44EF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Q 23"/>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Q 23</w:t>
            </w:r>
            <w:r>
              <w:rPr>
                <w:rFonts w:hint="eastAsia" w:ascii="黑体" w:hAnsi="黑体" w:eastAsia="黑体" w:cs="Times New Roman"/>
                <w:kern w:val="2"/>
                <w:sz w:val="21"/>
                <w:szCs w:val="21"/>
                <w:lang w:val="en-US" w:eastAsia="zh-CN" w:bidi="ar-SA"/>
              </w:rPr>
              <w:fldChar w:fldCharType="end"/>
            </w:r>
            <w:bookmarkEnd w:id="1"/>
          </w:p>
        </w:tc>
      </w:tr>
    </w:tbl>
    <w:p w14:paraId="7A4B476E">
      <w:pPr>
        <w:pStyle w:val="51"/>
        <w:framePr w:w="9639" w:h="624" w:hRule="exact" w:hSpace="181" w:vSpace="181" w:wrap="around" w:vAnchor="page" w:hAnchor="page" w:x="1368" w:y="2248"/>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35004C69">
      <w:pPr>
        <w:pStyle w:val="196"/>
      </w:pPr>
      <w:r>
        <w:t>T/</w:t>
      </w:r>
      <w:r>
        <w:fldChar w:fldCharType="begin">
          <w:ffData>
            <w:name w:val="文字1"/>
            <w:enabled/>
            <w:calcOnExit w:val="0"/>
            <w:textInput>
              <w:default w:val="CEATEC"/>
            </w:textInput>
          </w:ffData>
        </w:fldChar>
      </w:r>
      <w:bookmarkStart w:id="3" w:name="文字1"/>
      <w:r>
        <w:instrText xml:space="preserve"> FORMTEXT </w:instrText>
      </w:r>
      <w:r>
        <w:fldChar w:fldCharType="separate"/>
      </w:r>
      <w:r>
        <w:t>CEATEC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67801EF3">
      <w:pPr>
        <w:pStyle w:val="197"/>
        <w:rPr>
          <w:rFonts w:hint="eastAsia" w:hAnsi="黑体"/>
        </w:rPr>
      </w:pPr>
    </w:p>
    <w:p w14:paraId="39304311">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B89C782">
      <w:pPr>
        <w:pStyle w:val="51"/>
        <w:framePr w:w="9639" w:h="6976" w:hRule="exact" w:hSpace="0" w:vSpace="0" w:wrap="around" w:hAnchor="page" w:y="6408"/>
        <w:jc w:val="center"/>
        <w:rPr>
          <w:rFonts w:hint="eastAsia" w:ascii="黑体" w:hAnsi="黑体" w:eastAsia="黑体"/>
          <w:b w:val="0"/>
          <w:bCs w:val="0"/>
          <w:w w:val="100"/>
        </w:rPr>
      </w:pPr>
    </w:p>
    <w:p w14:paraId="3FB78205">
      <w:pPr>
        <w:pStyle w:val="198"/>
        <w:framePr w:h="6974" w:hRule="exact" w:wrap="around" w:x="1419" w:anchorLock="1"/>
        <w:rPr>
          <w:rFonts w:hint="eastAsia"/>
        </w:rPr>
      </w:pPr>
      <w:bookmarkStart w:id="6" w:name="CSTD_NAME"/>
      <w:r>
        <w:rPr>
          <w:rFonts w:hint="eastAsia" w:ascii="黑体" w:hAnsi="黑体" w:eastAsia="黑体" w:cs="Times New Roman"/>
          <w:bCs/>
          <w:sz w:val="52"/>
          <w:lang w:val="en-US" w:eastAsia="zh-CN" w:bidi="ar-SA"/>
        </w:rPr>
        <w:fldChar w:fldCharType="begin">
          <w:ffData>
            <w:name w:val="CSTD_NAME"/>
            <w:enabled/>
            <w:calcOnExit w:val="0"/>
            <w:textInput>
              <w:default w:val="抗老类妆食同源产品安全性与功效评价"/>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抗老类妆食同源产品安全性与功效评价</w:t>
      </w:r>
      <w:r>
        <w:rPr>
          <w:rFonts w:hint="eastAsia" w:ascii="黑体" w:hAnsi="黑体" w:eastAsia="黑体" w:cs="Times New Roman"/>
          <w:bCs/>
          <w:sz w:val="52"/>
          <w:lang w:val="en-US" w:eastAsia="zh-CN" w:bidi="ar-SA"/>
        </w:rPr>
        <w:fldChar w:fldCharType="end"/>
      </w:r>
      <w:bookmarkEnd w:id="6"/>
    </w:p>
    <w:p w14:paraId="7E03D1B4">
      <w:pPr>
        <w:framePr w:w="9639" w:h="6974" w:hRule="exact" w:wrap="around" w:vAnchor="page" w:hAnchor="page" w:x="1419" w:y="6408" w:anchorLock="1"/>
        <w:ind w:left="-1418"/>
      </w:pPr>
    </w:p>
    <w:p w14:paraId="7390E910">
      <w:pPr>
        <w:pStyle w:val="126"/>
        <w:framePr w:w="9639" w:h="6974" w:hRule="exact" w:wrap="around" w:vAnchor="page" w:hAnchor="page" w:x="1419" w:y="6408" w:anchorLock="1"/>
        <w:textAlignment w:val="bottom"/>
        <w:rPr>
          <w:rFonts w:eastAsia="黑体"/>
          <w:szCs w:val="28"/>
        </w:rPr>
      </w:pPr>
      <w:bookmarkStart w:id="77" w:name="_GoBack"/>
      <w:bookmarkStart w:id="7"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Evaluation of safety and efficacy of anti-aging cosmeceutical products based on the same source as food"/>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Evaluation of safety and efficacy of anti-aging cosmeceutical products based on the same source as food</w:t>
      </w:r>
      <w:r>
        <w:rPr>
          <w:rFonts w:ascii="Times New Roman" w:hAnsi="Times New Roman" w:eastAsia="黑体" w:cs="Times New Roman"/>
          <w:sz w:val="28"/>
          <w:szCs w:val="28"/>
          <w:lang w:val="en-US" w:eastAsia="zh-CN" w:bidi="ar-SA"/>
        </w:rPr>
        <w:fldChar w:fldCharType="end"/>
      </w:r>
      <w:bookmarkEnd w:id="77"/>
      <w:bookmarkEnd w:id="7"/>
    </w:p>
    <w:p w14:paraId="29831143">
      <w:pPr>
        <w:pStyle w:val="126"/>
        <w:framePr w:w="9639" w:h="6974" w:hRule="exact" w:wrap="around" w:vAnchor="page" w:hAnchor="page" w:x="1419" w:y="6408" w:anchorLock="1"/>
        <w:textAlignment w:val="bottom"/>
        <w:rPr>
          <w:rFonts w:eastAsia="黑体"/>
          <w:szCs w:val="28"/>
        </w:rPr>
      </w:pPr>
      <w:r>
        <w:rPr>
          <w:rFonts w:hint="eastAsia" w:eastAsia="黑体"/>
          <w:szCs w:val="28"/>
        </w:rPr>
        <w:t>（征求意见稿）</w:t>
      </w:r>
    </w:p>
    <w:p w14:paraId="194A02A0">
      <w:pPr>
        <w:framePr w:w="9639" w:h="6974" w:hRule="exact" w:wrap="around" w:vAnchor="page" w:hAnchor="page" w:x="1419" w:y="6408" w:anchorLock="1"/>
        <w:spacing w:line="760" w:lineRule="exact"/>
        <w:ind w:left="-1418"/>
      </w:pPr>
    </w:p>
    <w:p w14:paraId="475378AF">
      <w:pPr>
        <w:pStyle w:val="126"/>
        <w:framePr w:w="9639" w:h="6974" w:hRule="exact" w:wrap="around" w:vAnchor="page" w:hAnchor="page" w:x="1419" w:y="6408" w:anchorLock="1"/>
        <w:spacing w:before="440" w:after="160"/>
        <w:textAlignment w:val="bottom"/>
        <w:rPr>
          <w:sz w:val="24"/>
          <w:szCs w:val="28"/>
        </w:rPr>
      </w:pPr>
    </w:p>
    <w:p w14:paraId="6849B321">
      <w:pPr>
        <w:pStyle w:val="126"/>
        <w:framePr w:w="9639" w:h="6974" w:hRule="exact" w:wrap="around" w:vAnchor="page" w:hAnchor="page" w:x="1419" w:y="6408" w:anchorLock="1"/>
        <w:spacing w:before="180" w:line="240" w:lineRule="atLeast"/>
        <w:textAlignment w:val="bottom"/>
        <w:rPr>
          <w:sz w:val="21"/>
          <w:szCs w:val="28"/>
        </w:rPr>
      </w:pPr>
    </w:p>
    <w:p w14:paraId="6E69E5DB">
      <w:pPr>
        <w:pStyle w:val="126"/>
        <w:framePr w:w="9639" w:h="6974" w:hRule="exact" w:wrap="around" w:vAnchor="page" w:hAnchor="page" w:x="1419" w:y="6408" w:anchorLock="1"/>
        <w:spacing w:before="720" w:beforeLines="300" w:after="72" w:afterLines="30" w:line="240" w:lineRule="auto"/>
        <w:textAlignment w:val="bottom"/>
        <w:rPr>
          <w:b/>
          <w:sz w:val="21"/>
          <w:szCs w:val="28"/>
        </w:rPr>
      </w:pPr>
    </w:p>
    <w:p w14:paraId="6FA3FFD6">
      <w:pPr>
        <w:pStyle w:val="194"/>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019AA98F">
      <w:pPr>
        <w:pStyle w:val="195"/>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25678D52">
      <w:pPr>
        <w:pStyle w:val="152"/>
        <w:framePr w:h="584" w:hRule="exact" w:hSpace="181" w:vSpace="181" w:wrap="around" w:vAnchor="page" w:hAnchor="page" w:x="2472" w:y="14820"/>
        <w:rPr>
          <w:rFonts w:hint="eastAsia" w:hAnsi="黑体"/>
        </w:rPr>
      </w:pPr>
      <w:r>
        <w:rPr>
          <w:rFonts w:hint="eastAsia" w:hAnsi="黑体"/>
          <w:w w:val="100"/>
          <w:sz w:val="28"/>
        </w:rPr>
        <w:fldChar w:fldCharType="begin">
          <w:ffData>
            <w:name w:val="fm"/>
            <w:enabled/>
            <w:calcOnExit w:val="0"/>
            <w:textInput>
              <w:default w:val="中国欧洲经济技术合作协会"/>
            </w:textInput>
          </w:ffData>
        </w:fldChar>
      </w:r>
      <w:bookmarkStart w:id="14"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中国欧洲经济技术合作协会</w:t>
      </w:r>
      <w:r>
        <w:rPr>
          <w:rFonts w:hint="eastAsia" w:hAnsi="黑体"/>
          <w:w w:val="100"/>
          <w:sz w:val="28"/>
        </w:rPr>
        <w:fldChar w:fldCharType="end"/>
      </w:r>
      <w:bookmarkEnd w:id="14"/>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38848053">
      <w:pPr>
        <w:rPr>
          <w:rFonts w:hint="eastAsia" w:ascii="宋体" w:hAnsi="宋体"/>
          <w:sz w:val="28"/>
          <w:szCs w:val="28"/>
        </w:rPr>
        <w:sectPr>
          <w:headerReference r:id="rId4" w:type="first"/>
          <w:footerReference r:id="rId7" w:type="first"/>
          <w:headerReference r:id="rId3" w:type="default"/>
          <w:footerReference r:id="rId5" w:type="default"/>
          <w:footerReference r:id="rId6"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4384"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438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pMUhl+MB&#10;AACqAwAADgAAAAAAAAABACAAAAAmAQAAZHJzL2Uyb0RvYy54bWxQSwUGAAAAAAYABgBZAQAAewUA&#10;AAAA&#10;">
                <v:fill on="f" focussize="0,0"/>
                <v:stroke color="#000000" joinstyle="round"/>
                <v:imagedata o:title=""/>
                <o:lock v:ext="edit" aspectratio="f"/>
                <w10:anchorlock/>
              </v:line>
            </w:pict>
          </mc:Fallback>
        </mc:AlternateContent>
      </w:r>
    </w:p>
    <w:p w14:paraId="2CDB0642">
      <w:pPr>
        <w:pStyle w:val="92"/>
        <w:spacing w:before="850" w:after="680" w:afterLines="0"/>
      </w:pPr>
      <w:bookmarkStart w:id="15" w:name="BookMark1"/>
      <w:bookmarkStart w:id="16" w:name="BookMark2"/>
      <w:r>
        <w:rPr>
          <w:rFonts w:hint="eastAsia"/>
          <w:spacing w:val="320"/>
        </w:rPr>
        <w:t>目</w:t>
      </w:r>
      <w:r>
        <w:rPr>
          <w:rFonts w:hint="eastAsia"/>
        </w:rPr>
        <w:t>次</w:t>
      </w:r>
    </w:p>
    <w:bookmarkEnd w:id="15"/>
    <w:p w14:paraId="452E72BB">
      <w:pPr>
        <w:pStyle w:val="1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\l _Toc6534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前言</w:t>
      </w:r>
      <w:r>
        <w:rPr>
          <w:rFonts w:hint="eastAsia" w:ascii="宋体" w:hAnsi="宋体" w:eastAsia="宋体" w:cs="宋体"/>
          <w:szCs w:val="21"/>
          <w:lang w:val="en-US" w:eastAsia="zh-CN"/>
        </w:rPr>
        <w:tab/>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PAGEREF _Toc6534 \h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II</w:t>
      </w:r>
      <w:r>
        <w:rPr>
          <w:rFonts w:hint="eastAsia" w:ascii="宋体" w:hAnsi="宋体" w:eastAsia="宋体" w:cs="宋体"/>
          <w:szCs w:val="21"/>
          <w:lang w:val="en-US" w:eastAsia="zh-CN"/>
        </w:rPr>
        <w:fldChar w:fldCharType="end"/>
      </w:r>
      <w:r>
        <w:rPr>
          <w:rFonts w:hint="eastAsia" w:ascii="宋体" w:hAnsi="宋体" w:eastAsia="宋体" w:cs="宋体"/>
          <w:szCs w:val="21"/>
          <w:lang w:val="en-US" w:eastAsia="zh-CN"/>
        </w:rPr>
        <w:fldChar w:fldCharType="end"/>
      </w:r>
    </w:p>
    <w:p w14:paraId="2998ADE1">
      <w:pPr>
        <w:pStyle w:val="1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_Toc26977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_Toc26977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FA741E2">
      <w:pPr>
        <w:pStyle w:val="1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_Toc10952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_Toc10952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984B65E">
      <w:pPr>
        <w:pStyle w:val="1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_Toc5855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_Toc5855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2016DBE">
      <w:pPr>
        <w:pStyle w:val="1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_Toc14376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4 </w:t>
      </w:r>
      <w:r>
        <w:rPr>
          <w:rFonts w:hint="eastAsia" w:ascii="宋体" w:hAnsi="宋体" w:eastAsia="宋体" w:cs="宋体"/>
          <w:szCs w:val="21"/>
          <w:lang w:val="en-US" w:eastAsia="zh-CN"/>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_Toc14376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7892847">
      <w:pPr>
        <w:pStyle w:val="1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_Toc693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5 </w:t>
      </w:r>
      <w:r>
        <w:rPr>
          <w:rFonts w:hint="eastAsia" w:ascii="宋体" w:hAnsi="宋体" w:eastAsia="宋体" w:cs="宋体"/>
          <w:szCs w:val="21"/>
          <w:lang w:val="en-US" w:eastAsia="zh-CN"/>
        </w:rPr>
        <w:t>产品分类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2F20996">
      <w:pPr>
        <w:pStyle w:val="1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_Toc9610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6 </w:t>
      </w:r>
      <w:r>
        <w:rPr>
          <w:rFonts w:hint="eastAsia" w:ascii="宋体" w:hAnsi="宋体" w:eastAsia="宋体" w:cs="宋体"/>
          <w:szCs w:val="21"/>
          <w:lang w:val="en-US" w:eastAsia="zh-CN"/>
        </w:rPr>
        <w:t>安全性评价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_Toc9610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A3FBB77">
      <w:pPr>
        <w:pStyle w:val="24"/>
        <w:keepNext w:val="0"/>
        <w:keepLines w:val="0"/>
        <w:pageBreakBefore w:val="0"/>
        <w:widowControl/>
        <w:tabs>
          <w:tab w:val="right" w:leader="dot" w:pos="9354"/>
          <w:tab w:val="clear" w:pos="934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_Toc332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eastAsia="宋体" w:cs="宋体"/>
          <w:lang w:val="en-US" w:eastAsia="zh-CN"/>
        </w:rPr>
        <w:t>原料安全性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C4E9DDF">
      <w:pPr>
        <w:pStyle w:val="24"/>
        <w:keepNext w:val="0"/>
        <w:keepLines w:val="0"/>
        <w:pageBreakBefore w:val="0"/>
        <w:widowControl/>
        <w:tabs>
          <w:tab w:val="right" w:leader="dot" w:pos="9354"/>
          <w:tab w:val="clear" w:pos="934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_Toc7161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eastAsia="宋体" w:cs="宋体"/>
          <w:lang w:val="en-US" w:eastAsia="zh-CN"/>
        </w:rPr>
        <w:t>化妆品安全性评价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_Toc7161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1FBE38A">
      <w:pPr>
        <w:pStyle w:val="24"/>
        <w:keepNext w:val="0"/>
        <w:keepLines w:val="0"/>
        <w:pageBreakBefore w:val="0"/>
        <w:widowControl/>
        <w:tabs>
          <w:tab w:val="right" w:leader="dot" w:pos="9354"/>
          <w:tab w:val="clear" w:pos="934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_Toc4616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宋体" w:hAnsi="宋体" w:eastAsia="宋体" w:cs="宋体"/>
          <w:lang w:val="en-US" w:eastAsia="zh-CN"/>
        </w:rPr>
        <w:t>食品、化妆品联合应用的安全性评价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_Toc4616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F787D3C">
      <w:pPr>
        <w:pStyle w:val="1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_Toc11720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7 </w:t>
      </w:r>
      <w:r>
        <w:rPr>
          <w:rFonts w:hint="eastAsia" w:ascii="宋体" w:hAnsi="宋体" w:eastAsia="宋体" w:cs="宋体"/>
          <w:szCs w:val="21"/>
          <w:lang w:val="en-US" w:eastAsia="zh-CN"/>
        </w:rPr>
        <w:t>功效性评价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_Toc11720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3BA11EC">
      <w:pPr>
        <w:pStyle w:val="24"/>
        <w:keepNext w:val="0"/>
        <w:keepLines w:val="0"/>
        <w:pageBreakBefore w:val="0"/>
        <w:widowControl/>
        <w:tabs>
          <w:tab w:val="right" w:leader="dot" w:pos="9354"/>
          <w:tab w:val="clear" w:pos="934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_Toc12336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ascii="宋体" w:hAnsi="宋体" w:eastAsia="宋体" w:cs="宋体"/>
          <w:lang w:val="en-US" w:eastAsia="zh-CN"/>
        </w:rPr>
        <w:t>评价原则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_Toc12336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304E228">
      <w:pPr>
        <w:pStyle w:val="24"/>
        <w:keepNext w:val="0"/>
        <w:keepLines w:val="0"/>
        <w:pageBreakBefore w:val="0"/>
        <w:widowControl/>
        <w:tabs>
          <w:tab w:val="right" w:leader="dot" w:pos="9354"/>
          <w:tab w:val="clear" w:pos="934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_Toc31149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宋体" w:hAnsi="宋体" w:eastAsia="宋体" w:cs="宋体"/>
          <w:lang w:val="en-US" w:eastAsia="zh-CN"/>
        </w:rPr>
        <w:t>评价指标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_Toc31149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555C1E8">
      <w:pPr>
        <w:pStyle w:val="24"/>
        <w:keepNext w:val="0"/>
        <w:keepLines w:val="0"/>
        <w:pageBreakBefore w:val="0"/>
        <w:widowControl/>
        <w:tabs>
          <w:tab w:val="right" w:leader="dot" w:pos="9354"/>
          <w:tab w:val="clear" w:pos="934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_Toc30213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ascii="宋体" w:hAnsi="宋体" w:eastAsia="宋体" w:cs="宋体"/>
          <w:lang w:val="en-US" w:eastAsia="zh-CN"/>
        </w:rPr>
        <w:t>评价试验要求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_Toc30213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35F651F">
      <w:pPr>
        <w:pStyle w:val="1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_Toc21956 </w:instrText>
      </w:r>
      <w:r>
        <w:rPr>
          <w:rFonts w:hint="eastAsia" w:ascii="宋体" w:hAnsi="宋体" w:eastAsia="宋体" w:cs="宋体"/>
        </w:rPr>
        <w:fldChar w:fldCharType="separate"/>
      </w:r>
      <w:r>
        <w:rPr>
          <w:rFonts w:hint="eastAsia" w:ascii="宋体" w:hAnsi="宋体" w:eastAsia="宋体" w:cs="宋体"/>
          <w:szCs w:val="21"/>
          <w:lang w:val="en-US" w:eastAsia="zh-CN"/>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_Toc21956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AD6A8D4">
      <w:pPr>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ascii="宋体" w:hAnsi="宋体" w:eastAsia="宋体" w:cs="宋体"/>
        </w:rPr>
        <w:fldChar w:fldCharType="end"/>
      </w:r>
    </w:p>
    <w:p w14:paraId="59CE53DB">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400" w:lineRule="exact"/>
        <w:jc w:val="both"/>
        <w:textAlignment w:val="auto"/>
        <w:rPr>
          <w:rFonts w:hint="eastAsia" w:hAnsi="宋体" w:cs="宋体"/>
        </w:rPr>
      </w:pPr>
      <w:r>
        <w:rPr>
          <w:rFonts w:hint="eastAsia" w:hAnsi="宋体" w:cs="宋体"/>
        </w:rPr>
        <w:br w:type="page"/>
      </w:r>
    </w:p>
    <w:p w14:paraId="5B73D7CB">
      <w:pPr>
        <w:pStyle w:val="90"/>
      </w:pPr>
      <w:bookmarkStart w:id="17" w:name="_Toc32464"/>
      <w:bookmarkStart w:id="18" w:name="_Toc6534"/>
      <w:r>
        <w:rPr>
          <w:spacing w:val="320"/>
        </w:rPr>
        <w:t>前</w:t>
      </w:r>
      <w:r>
        <w:t>言</w:t>
      </w:r>
      <w:bookmarkEnd w:id="17"/>
      <w:bookmarkEnd w:id="18"/>
    </w:p>
    <w:p w14:paraId="062A5B6B">
      <w:pPr>
        <w:pStyle w:val="57"/>
        <w:ind w:firstLine="420"/>
      </w:pPr>
      <w:r>
        <w:rPr>
          <w:rFonts w:hint="eastAsia"/>
        </w:rPr>
        <w:t>本文件按照GB/T 1.1—2020《标准化工作导则  第1部分：标准化文件的结构和起草规则》的规定起草。</w:t>
      </w:r>
    </w:p>
    <w:p w14:paraId="2201D517">
      <w:pPr>
        <w:pStyle w:val="57"/>
        <w:ind w:firstLine="420"/>
      </w:pPr>
      <w:r>
        <w:rPr>
          <w:rFonts w:hint="eastAsia"/>
        </w:rPr>
        <w:t>请注意本文件的某些内容可能涉及专利。本文件的发布机构不承担识别专利的责任。</w:t>
      </w:r>
    </w:p>
    <w:p w14:paraId="3B589631">
      <w:pPr>
        <w:pStyle w:val="57"/>
        <w:ind w:firstLine="420"/>
      </w:pPr>
      <w:r>
        <w:rPr>
          <w:rFonts w:hint="eastAsia"/>
        </w:rPr>
        <w:t>本文件本文件由中国欧洲经济技术合作协会提出并归口。</w:t>
      </w:r>
    </w:p>
    <w:p w14:paraId="5A2F76B2">
      <w:pPr>
        <w:pStyle w:val="57"/>
        <w:ind w:firstLine="420"/>
      </w:pPr>
      <w:r>
        <w:rPr>
          <w:rFonts w:hint="eastAsia"/>
        </w:rPr>
        <w:t>本文件起草单位：。</w:t>
      </w:r>
    </w:p>
    <w:p w14:paraId="69E97F53">
      <w:pPr>
        <w:pStyle w:val="57"/>
        <w:ind w:firstLine="420"/>
      </w:pPr>
      <w:r>
        <w:rPr>
          <w:rFonts w:hint="eastAsia"/>
        </w:rPr>
        <w:t>本文件主要起草人：。</w:t>
      </w:r>
    </w:p>
    <w:p w14:paraId="3DC68C3D">
      <w:pPr>
        <w:pStyle w:val="57"/>
        <w:ind w:firstLine="420"/>
        <w:sectPr>
          <w:headerReference r:id="rId8" w:type="default"/>
          <w:footerReference r:id="rId10" w:type="default"/>
          <w:headerReference r:id="rId9" w:type="even"/>
          <w:footerReference r:id="rId11" w:type="even"/>
          <w:pgSz w:w="11906" w:h="16838"/>
          <w:pgMar w:top="1928" w:right="1134" w:bottom="1134" w:left="1134" w:header="1418" w:footer="1134" w:gutter="284"/>
          <w:pgNumType w:fmt="upperRoman" w:start="1"/>
          <w:cols w:space="425" w:num="1"/>
          <w:formProt w:val="0"/>
          <w:docGrid w:linePitch="312" w:charSpace="0"/>
        </w:sectPr>
      </w:pPr>
      <w:r>
        <w:rPr>
          <w:rFonts w:hint="eastAsia"/>
        </w:rPr>
        <w:t>本文件首次发布。</w:t>
      </w:r>
    </w:p>
    <w:bookmarkEnd w:id="16"/>
    <w:p w14:paraId="04FEC805">
      <w:pPr>
        <w:spacing w:line="20" w:lineRule="exact"/>
        <w:jc w:val="center"/>
        <w:rPr>
          <w:rFonts w:hint="eastAsia" w:ascii="黑体" w:hAnsi="黑体" w:eastAsia="黑体"/>
          <w:sz w:val="32"/>
          <w:szCs w:val="32"/>
        </w:rPr>
      </w:pPr>
      <w:bookmarkStart w:id="19" w:name="BookMark4"/>
    </w:p>
    <w:p w14:paraId="3D4C22B6">
      <w:pPr>
        <w:spacing w:line="20" w:lineRule="exact"/>
        <w:jc w:val="center"/>
        <w:rPr>
          <w:rFonts w:hint="eastAsia" w:ascii="黑体" w:hAnsi="黑体" w:eastAsia="黑体"/>
          <w:sz w:val="32"/>
          <w:szCs w:val="32"/>
        </w:rPr>
      </w:pPr>
    </w:p>
    <w:sdt>
      <w:sdtPr>
        <w:tag w:val="NEW_STAND_NAME"/>
        <w:id w:val="595910757"/>
        <w:lock w:val="sdtLocked"/>
        <w:placeholder>
          <w:docPart w:val="E95282C780534EED9CD8A66177945549"/>
        </w:placeholder>
      </w:sdtPr>
      <w:sdtEndPr>
        <w:rPr>
          <w:color w:val="auto"/>
        </w:rPr>
      </w:sdtEndPr>
      <w:sdtContent>
        <w:p w14:paraId="2CDC711E">
          <w:pPr>
            <w:pStyle w:val="178"/>
            <w:spacing w:before="850" w:after="700"/>
            <w:rPr>
              <w:rFonts w:hint="eastAsia"/>
              <w:color w:val="auto"/>
            </w:rPr>
          </w:pPr>
          <w:bookmarkStart w:id="20" w:name="NEW_STAND_NAME"/>
          <w:r>
            <w:rPr>
              <w:rFonts w:hint="eastAsia"/>
              <w:color w:val="auto"/>
            </w:rPr>
            <w:t>抗老类妆食同源产品安全性与功效评价</w:t>
          </w:r>
        </w:p>
      </w:sdtContent>
    </w:sdt>
    <w:bookmarkEnd w:id="20"/>
    <w:p w14:paraId="1FEC4CF0">
      <w:pPr>
        <w:pStyle w:val="105"/>
        <w:spacing w:before="240" w:after="240"/>
        <w:rPr>
          <w:color w:val="auto"/>
        </w:rPr>
      </w:pPr>
      <w:bookmarkStart w:id="21" w:name="_Toc26648465"/>
      <w:bookmarkStart w:id="22" w:name="_Toc26718930"/>
      <w:bookmarkStart w:id="23" w:name="_Toc17233333"/>
      <w:bookmarkStart w:id="24" w:name="_Toc24884218"/>
      <w:bookmarkStart w:id="25" w:name="_Toc97192964"/>
      <w:bookmarkStart w:id="26" w:name="_Toc26986771"/>
      <w:bookmarkStart w:id="27" w:name="_Toc26986530"/>
      <w:bookmarkStart w:id="28" w:name="_Toc24884211"/>
      <w:bookmarkStart w:id="29" w:name="_Toc26977"/>
      <w:bookmarkStart w:id="30" w:name="_Toc21732"/>
      <w:bookmarkStart w:id="31" w:name="_Toc17233325"/>
      <w:r>
        <w:rPr>
          <w:rFonts w:hint="eastAsia"/>
          <w:color w:val="auto"/>
        </w:rPr>
        <w:t>范围</w:t>
      </w:r>
      <w:bookmarkEnd w:id="21"/>
      <w:bookmarkEnd w:id="22"/>
      <w:bookmarkEnd w:id="23"/>
      <w:bookmarkEnd w:id="24"/>
      <w:bookmarkEnd w:id="25"/>
      <w:bookmarkEnd w:id="26"/>
      <w:bookmarkEnd w:id="27"/>
      <w:bookmarkEnd w:id="28"/>
      <w:bookmarkEnd w:id="29"/>
      <w:bookmarkEnd w:id="30"/>
      <w:bookmarkEnd w:id="31"/>
    </w:p>
    <w:p w14:paraId="47506024">
      <w:pPr>
        <w:pStyle w:val="57"/>
        <w:ind w:firstLine="420"/>
        <w:rPr>
          <w:color w:val="auto"/>
        </w:rPr>
      </w:pPr>
      <w:bookmarkStart w:id="32" w:name="_Toc17233334"/>
      <w:bookmarkStart w:id="33" w:name="_Toc24884219"/>
      <w:bookmarkStart w:id="34" w:name="_Toc26648466"/>
      <w:bookmarkStart w:id="35" w:name="_Toc24884212"/>
      <w:bookmarkStart w:id="36" w:name="_Toc17233326"/>
      <w:r>
        <w:rPr>
          <w:rFonts w:hint="eastAsia"/>
          <w:color w:val="auto"/>
        </w:rPr>
        <w:t>本文件规定了抗老类妆食同源产品的</w:t>
      </w:r>
      <w:r>
        <w:rPr>
          <w:rFonts w:hint="eastAsia"/>
          <w:color w:val="auto"/>
          <w:lang w:val="en-US" w:eastAsia="zh-CN"/>
        </w:rPr>
        <w:t>总则、产品分类、安全性评价、功效性评价</w:t>
      </w:r>
      <w:r>
        <w:rPr>
          <w:rFonts w:hint="eastAsia"/>
          <w:color w:val="auto"/>
        </w:rPr>
        <w:t>。</w:t>
      </w:r>
    </w:p>
    <w:p w14:paraId="71850D75">
      <w:pPr>
        <w:pStyle w:val="57"/>
        <w:ind w:firstLine="420"/>
        <w:rPr>
          <w:color w:val="auto"/>
        </w:rPr>
      </w:pPr>
      <w:r>
        <w:rPr>
          <w:rFonts w:hint="eastAsia"/>
          <w:color w:val="auto"/>
        </w:rPr>
        <w:t>本文件适用于抗老类妆食同源产品安全性与功效评价。</w:t>
      </w:r>
    </w:p>
    <w:p w14:paraId="18622D2E">
      <w:pPr>
        <w:pStyle w:val="105"/>
        <w:spacing w:before="240" w:after="240"/>
        <w:rPr>
          <w:color w:val="auto"/>
        </w:rPr>
      </w:pPr>
      <w:bookmarkStart w:id="37" w:name="_Toc97192965"/>
      <w:bookmarkStart w:id="38" w:name="_Toc26986531"/>
      <w:bookmarkStart w:id="39" w:name="_Toc10952"/>
      <w:bookmarkStart w:id="40" w:name="_Toc15721"/>
      <w:bookmarkStart w:id="41" w:name="_Toc26986772"/>
      <w:bookmarkStart w:id="42" w:name="_Toc26718931"/>
      <w:r>
        <w:rPr>
          <w:rFonts w:hint="eastAsia"/>
          <w:color w:val="auto"/>
        </w:rPr>
        <w:t>规范性引用文件</w:t>
      </w:r>
      <w:bookmarkEnd w:id="32"/>
      <w:bookmarkEnd w:id="33"/>
      <w:bookmarkEnd w:id="34"/>
      <w:bookmarkEnd w:id="35"/>
      <w:bookmarkEnd w:id="36"/>
      <w:bookmarkEnd w:id="37"/>
      <w:bookmarkEnd w:id="38"/>
      <w:bookmarkEnd w:id="39"/>
      <w:bookmarkEnd w:id="40"/>
      <w:bookmarkEnd w:id="41"/>
      <w:bookmarkEnd w:id="42"/>
    </w:p>
    <w:sdt>
      <w:sdtPr>
        <w:rPr>
          <w:rFonts w:hint="eastAsia"/>
          <w:color w:val="auto"/>
        </w:rPr>
        <w:id w:val="715848253"/>
        <w:placeholder>
          <w:docPart w:val="7D4C5B62BE3748A8A185024F36B5A7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14:paraId="096BF1F1">
          <w:pPr>
            <w:pStyle w:val="57"/>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B03BE23">
      <w:pPr>
        <w:pStyle w:val="57"/>
        <w:ind w:firstLine="420"/>
        <w:rPr>
          <w:rFonts w:hint="default"/>
          <w:color w:val="auto"/>
          <w:lang w:val="en-US" w:eastAsia="zh-CN"/>
        </w:rPr>
      </w:pPr>
      <w:r>
        <w:rPr>
          <w:rFonts w:hint="default"/>
          <w:color w:val="auto"/>
          <w:lang w:val="en-US" w:eastAsia="zh-CN"/>
        </w:rPr>
        <w:t>GB/T 29680</w:t>
      </w:r>
      <w:r>
        <w:rPr>
          <w:rFonts w:hint="eastAsia"/>
          <w:color w:val="auto"/>
          <w:lang w:val="en-US" w:eastAsia="zh-CN"/>
        </w:rPr>
        <w:t xml:space="preserve">  </w:t>
      </w:r>
      <w:r>
        <w:rPr>
          <w:rFonts w:hint="default"/>
          <w:color w:val="auto"/>
          <w:lang w:val="en-US" w:eastAsia="zh-CN"/>
        </w:rPr>
        <w:t>化妆品中防腐剂的测定</w:t>
      </w:r>
    </w:p>
    <w:p w14:paraId="11F40DFF">
      <w:pPr>
        <w:pStyle w:val="57"/>
        <w:ind w:firstLine="420"/>
        <w:rPr>
          <w:rFonts w:hint="default"/>
          <w:color w:val="auto"/>
          <w:lang w:val="en-US" w:eastAsia="zh-CN"/>
        </w:rPr>
      </w:pPr>
      <w:r>
        <w:rPr>
          <w:rFonts w:hint="default"/>
          <w:color w:val="auto"/>
          <w:lang w:val="en-US" w:eastAsia="zh-CN"/>
        </w:rPr>
        <w:t>QB/T 4256</w:t>
      </w:r>
      <w:r>
        <w:rPr>
          <w:rFonts w:hint="eastAsia"/>
          <w:color w:val="auto"/>
          <w:lang w:val="en-US" w:eastAsia="zh-CN"/>
        </w:rPr>
        <w:t xml:space="preserve">  化妆品保湿功效评价指南</w:t>
      </w:r>
    </w:p>
    <w:p w14:paraId="2297A735">
      <w:pPr>
        <w:pStyle w:val="57"/>
        <w:ind w:firstLine="420"/>
        <w:rPr>
          <w:rFonts w:hint="default"/>
          <w:color w:val="auto"/>
          <w:lang w:val="en-US" w:eastAsia="zh-CN"/>
        </w:rPr>
      </w:pPr>
      <w:r>
        <w:rPr>
          <w:rFonts w:hint="default"/>
          <w:color w:val="auto"/>
          <w:lang w:val="en-US" w:eastAsia="zh-CN"/>
        </w:rPr>
        <w:t>‌T/FDSA 0097</w:t>
      </w:r>
      <w:r>
        <w:rPr>
          <w:rFonts w:hint="eastAsia"/>
          <w:color w:val="auto"/>
          <w:lang w:val="en-US" w:eastAsia="zh-CN"/>
        </w:rPr>
        <w:t xml:space="preserve">  </w:t>
      </w:r>
      <w:r>
        <w:rPr>
          <w:rFonts w:hint="default"/>
          <w:color w:val="auto"/>
          <w:lang w:val="en-US" w:eastAsia="zh-CN"/>
        </w:rPr>
        <w:t>化妆品抗皱紧致舒缓功效宣称评测方法</w:t>
      </w:r>
    </w:p>
    <w:p w14:paraId="582CB72A">
      <w:pPr>
        <w:pStyle w:val="57"/>
        <w:ind w:firstLine="420"/>
        <w:rPr>
          <w:rFonts w:hint="default"/>
          <w:color w:val="auto"/>
          <w:lang w:val="en-US" w:eastAsia="zh-CN"/>
        </w:rPr>
      </w:pPr>
      <w:r>
        <w:rPr>
          <w:rFonts w:hint="default"/>
          <w:color w:val="auto"/>
          <w:lang w:val="en-US" w:eastAsia="zh-CN"/>
        </w:rPr>
        <w:t>T/CAB 0152</w:t>
      </w:r>
      <w:r>
        <w:rPr>
          <w:rFonts w:hint="eastAsia"/>
          <w:color w:val="auto"/>
          <w:lang w:val="en-US" w:eastAsia="zh-CN"/>
        </w:rPr>
        <w:t xml:space="preserve">  </w:t>
      </w:r>
      <w:r>
        <w:rPr>
          <w:rFonts w:hint="default"/>
          <w:color w:val="auto"/>
          <w:lang w:val="en-US" w:eastAsia="zh-CN"/>
        </w:rPr>
        <w:t>化妆品抗皱、紧致、保湿、控油、修护、滋养、舒缓七项功效测试方法</w:t>
      </w:r>
    </w:p>
    <w:p w14:paraId="3C5B4196">
      <w:pPr>
        <w:pStyle w:val="105"/>
        <w:spacing w:before="240" w:after="240"/>
        <w:rPr>
          <w:color w:val="auto"/>
        </w:rPr>
      </w:pPr>
      <w:bookmarkStart w:id="43" w:name="_Toc10632"/>
      <w:bookmarkStart w:id="44" w:name="_Toc97192966"/>
      <w:bookmarkStart w:id="45" w:name="_Toc5855"/>
      <w:r>
        <w:rPr>
          <w:rFonts w:hint="eastAsia"/>
          <w:color w:val="auto"/>
          <w:szCs w:val="21"/>
        </w:rPr>
        <w:t>术语和定义</w:t>
      </w:r>
      <w:bookmarkEnd w:id="43"/>
      <w:bookmarkEnd w:id="44"/>
      <w:bookmarkEnd w:id="45"/>
    </w:p>
    <w:sdt>
      <w:sdtPr>
        <w:rPr>
          <w:color w:val="auto"/>
        </w:rPr>
        <w:id w:val="-1909835108"/>
        <w:placeholder>
          <w:docPart w:val="D52E28A190F340F0A425E9C3719705A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14:paraId="13EFEC77">
          <w:pPr>
            <w:pStyle w:val="57"/>
            <w:ind w:firstLine="420"/>
            <w:rPr>
              <w:color w:val="auto"/>
            </w:rPr>
          </w:pPr>
          <w:bookmarkStart w:id="46" w:name="_Toc26986532"/>
          <w:bookmarkEnd w:id="46"/>
          <w:r>
            <w:rPr>
              <w:rFonts w:ascii="宋体" w:hAnsi="Times New Roman" w:eastAsia="宋体" w:cs="Times New Roman"/>
              <w:color w:val="auto"/>
              <w:sz w:val="21"/>
              <w:lang w:val="en-US" w:eastAsia="zh-CN" w:bidi="ar-SA"/>
            </w:rPr>
            <w:t>下列术语和定义适用于本文件。</w:t>
          </w:r>
        </w:p>
      </w:sdtContent>
    </w:sdt>
    <w:p w14:paraId="00E157DA">
      <w:pPr>
        <w:pStyle w:val="224"/>
        <w:ind w:left="420" w:hanging="420" w:hangingChars="200"/>
        <w:rPr>
          <w:rFonts w:hint="eastAsia" w:ascii="黑体" w:hAnsi="黑体" w:eastAsia="黑体"/>
          <w:color w:val="auto"/>
          <w:lang w:val="en-US" w:eastAsia="zh-CN"/>
        </w:rPr>
      </w:pPr>
      <w:r>
        <w:rPr>
          <w:rFonts w:hint="eastAsia" w:ascii="黑体" w:hAnsi="黑体" w:eastAsia="黑体"/>
          <w:color w:val="auto"/>
          <w:lang w:val="en-US" w:eastAsia="zh-CN"/>
        </w:rPr>
        <w:br w:type="textWrapping"/>
      </w:r>
      <w:r>
        <w:rPr>
          <w:rFonts w:hint="eastAsia" w:ascii="黑体" w:hAnsi="黑体" w:eastAsia="黑体"/>
          <w:color w:val="auto"/>
          <w:lang w:val="en-US" w:eastAsia="zh-CN"/>
        </w:rPr>
        <w:t>妆食同源原料 cosmetic-food homologous substance</w:t>
      </w:r>
    </w:p>
    <w:p w14:paraId="28D93BD3">
      <w:pPr>
        <w:pStyle w:val="57"/>
        <w:ind w:firstLine="360"/>
        <w:rPr>
          <w:rFonts w:hint="eastAsia"/>
          <w:color w:val="auto"/>
          <w:sz w:val="21"/>
          <w:szCs w:val="21"/>
          <w:highlight w:val="none"/>
          <w:lang w:val="en-US" w:eastAsia="zh-CN"/>
        </w:rPr>
      </w:pPr>
      <w:r>
        <w:rPr>
          <w:rFonts w:hint="eastAsia"/>
          <w:color w:val="auto"/>
          <w:sz w:val="21"/>
          <w:szCs w:val="21"/>
          <w:highlight w:val="none"/>
          <w:lang w:val="en-US" w:eastAsia="zh-CN"/>
        </w:rPr>
        <w:t>指源自同一基原，或为化学结构相同的同一物质，相应核心成分无论经天然提取、生物制备或化学合成获得，分别符合化妆品原料与食品原料相关管理规定，具有安全食（使）用历史，可应用于化妆品或食品生产的原料及其加工制品。</w:t>
      </w:r>
    </w:p>
    <w:p w14:paraId="6CF28AB0">
      <w:pPr>
        <w:pStyle w:val="224"/>
        <w:ind w:left="420" w:hanging="420" w:hangingChars="200"/>
        <w:rPr>
          <w:rFonts w:hint="eastAsia" w:ascii="黑体" w:hAnsi="黑体" w:eastAsia="黑体"/>
          <w:color w:val="auto"/>
          <w:lang w:val="en-US" w:eastAsia="zh-CN"/>
        </w:rPr>
      </w:pPr>
      <w:r>
        <w:rPr>
          <w:rFonts w:hint="eastAsia" w:ascii="黑体" w:hAnsi="黑体" w:eastAsia="黑体"/>
          <w:color w:val="auto"/>
          <w:lang w:val="en-US" w:eastAsia="zh-CN"/>
        </w:rPr>
        <w:br w:type="textWrapping"/>
      </w:r>
      <w:r>
        <w:rPr>
          <w:rFonts w:hint="eastAsia" w:ascii="黑体" w:hAnsi="黑体" w:eastAsia="黑体"/>
          <w:color w:val="auto"/>
          <w:lang w:val="en-US" w:eastAsia="zh-CN"/>
        </w:rPr>
        <w:t>妆食同源产品 cosmetic-food homologous product</w:t>
      </w:r>
    </w:p>
    <w:p w14:paraId="19FA4359">
      <w:pPr>
        <w:pStyle w:val="57"/>
        <w:ind w:firstLine="360"/>
        <w:rPr>
          <w:rFonts w:hint="eastAsia"/>
          <w:color w:val="auto"/>
          <w:sz w:val="21"/>
          <w:szCs w:val="21"/>
          <w:highlight w:val="none"/>
          <w:lang w:val="en-US" w:eastAsia="zh-CN"/>
        </w:rPr>
      </w:pPr>
      <w:r>
        <w:rPr>
          <w:rFonts w:hint="eastAsia"/>
          <w:color w:val="auto"/>
          <w:sz w:val="21"/>
          <w:szCs w:val="21"/>
          <w:highlight w:val="none"/>
          <w:lang w:val="en-US" w:eastAsia="zh-CN"/>
        </w:rPr>
        <w:t>采用妆食同源原料，通过内服（系统调节）和/或外用（局部护理）实现皮肤健康与美容的创新食品和/或化妆品。</w:t>
      </w:r>
    </w:p>
    <w:p w14:paraId="0E8FFB87">
      <w:pPr>
        <w:pStyle w:val="224"/>
        <w:ind w:left="420" w:hanging="420" w:hangingChars="200"/>
        <w:rPr>
          <w:rFonts w:hint="eastAsia" w:ascii="黑体" w:hAnsi="黑体" w:eastAsia="黑体"/>
          <w:color w:val="auto"/>
          <w:lang w:val="en-US" w:eastAsia="zh-CN"/>
        </w:rPr>
      </w:pPr>
      <w:r>
        <w:rPr>
          <w:rFonts w:hint="eastAsia" w:ascii="黑体" w:hAnsi="黑体" w:eastAsia="黑体"/>
          <w:color w:val="auto"/>
          <w:lang w:val="en-US" w:eastAsia="zh-CN"/>
        </w:rPr>
        <w:br w:type="textWrapping"/>
      </w:r>
      <w:r>
        <w:rPr>
          <w:rFonts w:hint="eastAsia" w:ascii="黑体" w:hAnsi="黑体" w:eastAsia="黑体"/>
          <w:color w:val="auto"/>
          <w:lang w:val="en-US" w:eastAsia="zh-CN"/>
        </w:rPr>
        <w:t>抗老类妆食同源产品 anti-aging cosmetic-food homologous product</w:t>
      </w:r>
    </w:p>
    <w:p w14:paraId="017E1C96">
      <w:pPr>
        <w:pStyle w:val="57"/>
        <w:ind w:firstLine="360"/>
        <w:rPr>
          <w:rFonts w:hint="eastAsia"/>
          <w:color w:val="auto"/>
          <w:sz w:val="21"/>
          <w:szCs w:val="21"/>
          <w:highlight w:val="none"/>
          <w:lang w:val="en-US" w:eastAsia="zh-CN"/>
        </w:rPr>
      </w:pPr>
      <w:r>
        <w:rPr>
          <w:rFonts w:hint="eastAsia"/>
          <w:color w:val="auto"/>
          <w:sz w:val="21"/>
          <w:szCs w:val="21"/>
          <w:highlight w:val="none"/>
          <w:lang w:val="en-US" w:eastAsia="zh-CN"/>
        </w:rPr>
        <w:t>指通过内服和/或外用方式，旨在延缓、减轻或改善内源性和外源性的皮肤生理功能衰退及外观表征改变（如皱纹、松弛、干燥、色素沉着等）的抗衰老类妆食同源产品。</w:t>
      </w:r>
    </w:p>
    <w:p w14:paraId="26CA17D5">
      <w:pPr>
        <w:pStyle w:val="105"/>
        <w:spacing w:before="240" w:after="240"/>
        <w:rPr>
          <w:rFonts w:hint="default"/>
          <w:color w:val="auto"/>
          <w:szCs w:val="21"/>
          <w:lang w:val="en-US" w:eastAsia="zh-CN"/>
        </w:rPr>
      </w:pPr>
      <w:bookmarkStart w:id="47" w:name="_Toc14376"/>
      <w:bookmarkStart w:id="48" w:name="_Toc595"/>
      <w:r>
        <w:rPr>
          <w:rFonts w:hint="eastAsia"/>
          <w:color w:val="auto"/>
          <w:szCs w:val="21"/>
          <w:lang w:val="en-US" w:eastAsia="zh-CN"/>
        </w:rPr>
        <w:t>总则</w:t>
      </w:r>
      <w:bookmarkEnd w:id="47"/>
      <w:bookmarkEnd w:id="48"/>
    </w:p>
    <w:p w14:paraId="5D7C6484">
      <w:pPr>
        <w:pStyle w:val="106"/>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color w:val="auto"/>
          <w:lang w:val="en-US" w:eastAsia="zh-CN"/>
        </w:rPr>
      </w:pPr>
      <w:bookmarkStart w:id="49" w:name="_Toc78"/>
      <w:r>
        <w:rPr>
          <w:rFonts w:hint="default" w:ascii="宋体" w:hAnsi="宋体" w:eastAsia="宋体" w:cs="宋体"/>
          <w:color w:val="auto"/>
          <w:lang w:val="en-US" w:eastAsia="zh-CN"/>
        </w:rPr>
        <w:t>产品的研发、生产、经营应符合《</w:t>
      </w:r>
      <w:r>
        <w:rPr>
          <w:rFonts w:hint="eastAsia" w:ascii="宋体" w:hAnsi="宋体" w:eastAsia="宋体" w:cs="宋体"/>
          <w:color w:val="auto"/>
          <w:lang w:val="en-US" w:eastAsia="zh-CN"/>
        </w:rPr>
        <w:t>中华人民共和国食品安全法</w:t>
      </w:r>
      <w:r>
        <w:rPr>
          <w:rFonts w:hint="default" w:ascii="宋体" w:hAnsi="宋体" w:eastAsia="宋体" w:cs="宋体"/>
          <w:color w:val="auto"/>
          <w:lang w:val="en-US" w:eastAsia="zh-CN"/>
        </w:rPr>
        <w:t>》《化妆品监督管理条例》及其配套实施法律法规的要求。</w:t>
      </w:r>
      <w:bookmarkEnd w:id="49"/>
    </w:p>
    <w:p w14:paraId="35892554">
      <w:pPr>
        <w:pStyle w:val="106"/>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color w:val="auto"/>
          <w:lang w:val="en-US" w:eastAsia="zh-CN"/>
        </w:rPr>
      </w:pPr>
      <w:bookmarkStart w:id="50" w:name="_Toc19911"/>
      <w:r>
        <w:rPr>
          <w:rFonts w:hint="default" w:ascii="宋体" w:hAnsi="宋体" w:eastAsia="宋体" w:cs="宋体"/>
          <w:color w:val="auto"/>
          <w:lang w:val="en-US" w:eastAsia="zh-CN"/>
        </w:rPr>
        <w:t>产品所用妆食同源原料应同时符合国家相关食品、食品添加剂或新食品原料相关的安全标准与规定和化妆品、化妆品原料的安全技术要求。</w:t>
      </w:r>
      <w:bookmarkEnd w:id="50"/>
    </w:p>
    <w:p w14:paraId="54958A18">
      <w:pPr>
        <w:pStyle w:val="106"/>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color w:val="auto"/>
          <w:lang w:val="en-US" w:eastAsia="zh-CN"/>
        </w:rPr>
      </w:pPr>
      <w:bookmarkStart w:id="51" w:name="_Toc13772"/>
      <w:r>
        <w:rPr>
          <w:rFonts w:hint="default" w:ascii="宋体" w:hAnsi="宋体" w:eastAsia="宋体" w:cs="宋体"/>
          <w:color w:val="auto"/>
          <w:lang w:val="en-US" w:eastAsia="zh-CN"/>
        </w:rPr>
        <w:t>产品不应添加国家明令禁止用于食品或化妆品的成分。</w:t>
      </w:r>
      <w:bookmarkEnd w:id="51"/>
    </w:p>
    <w:p w14:paraId="5E1D8D2F">
      <w:pPr>
        <w:pStyle w:val="106"/>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color w:val="auto"/>
          <w:lang w:val="en-US" w:eastAsia="zh-CN"/>
        </w:rPr>
      </w:pPr>
      <w:bookmarkStart w:id="52" w:name="_Toc1501"/>
      <w:r>
        <w:rPr>
          <w:rFonts w:hint="default" w:ascii="宋体" w:hAnsi="宋体" w:eastAsia="宋体" w:cs="宋体"/>
          <w:color w:val="auto"/>
          <w:lang w:val="en-US" w:eastAsia="zh-CN"/>
        </w:rPr>
        <w:t>产品的功效宣称应科学、真实、准确，口服类产品的功效评价，应符合《中华人民共和国广告法》的要求及国家发布的相关法律法规；外用类产品的功效评价，应遵循《化妆品功效宣称评价规范》，不应宣称医疗作用。</w:t>
      </w:r>
      <w:bookmarkEnd w:id="52"/>
    </w:p>
    <w:p w14:paraId="7D2BAE1D">
      <w:pPr>
        <w:pStyle w:val="106"/>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color w:val="auto"/>
          <w:lang w:val="en-US" w:eastAsia="zh-CN"/>
        </w:rPr>
      </w:pPr>
      <w:bookmarkStart w:id="53" w:name="_Toc20727"/>
      <w:r>
        <w:rPr>
          <w:rFonts w:hint="default" w:ascii="宋体" w:hAnsi="宋体" w:eastAsia="宋体" w:cs="宋体"/>
          <w:color w:val="auto"/>
          <w:lang w:val="en-US" w:eastAsia="zh-CN"/>
        </w:rPr>
        <w:t>食品和化妆品应分别通过口服摄入与外用涂抹联合应用的方式实现“内服外养”的协同作用。</w:t>
      </w:r>
      <w:bookmarkEnd w:id="53"/>
    </w:p>
    <w:p w14:paraId="7AC6BD83">
      <w:pPr>
        <w:pStyle w:val="105"/>
        <w:spacing w:before="240" w:after="240"/>
        <w:rPr>
          <w:rFonts w:hint="default"/>
          <w:color w:val="auto"/>
          <w:szCs w:val="21"/>
          <w:lang w:val="en-US" w:eastAsia="zh-CN"/>
        </w:rPr>
      </w:pPr>
      <w:bookmarkStart w:id="54" w:name="_Toc693"/>
      <w:bookmarkStart w:id="55" w:name="_Toc13806"/>
      <w:r>
        <w:rPr>
          <w:rFonts w:hint="eastAsia"/>
          <w:color w:val="auto"/>
          <w:szCs w:val="21"/>
          <w:lang w:val="en-US" w:eastAsia="zh-CN"/>
        </w:rPr>
        <w:t>产品分类</w:t>
      </w:r>
      <w:bookmarkEnd w:id="54"/>
      <w:bookmarkEnd w:id="55"/>
    </w:p>
    <w:p w14:paraId="1E7753D7">
      <w:pPr>
        <w:pStyle w:val="57"/>
        <w:rPr>
          <w:rFonts w:hint="eastAsia"/>
          <w:color w:val="auto"/>
          <w:lang w:val="en-US" w:eastAsia="zh-CN"/>
        </w:rPr>
      </w:pPr>
      <w:r>
        <w:rPr>
          <w:rFonts w:hint="eastAsia"/>
          <w:color w:val="auto"/>
          <w:lang w:val="en-US" w:eastAsia="zh-CN"/>
        </w:rPr>
        <w:t>按使用方式可分为：</w:t>
      </w:r>
    </w:p>
    <w:p w14:paraId="7A331D87">
      <w:pPr>
        <w:pStyle w:val="175"/>
        <w:numPr>
          <w:ilvl w:val="0"/>
          <w:numId w:val="33"/>
        </w:numPr>
        <w:rPr>
          <w:rFonts w:hint="eastAsia"/>
          <w:color w:val="auto"/>
          <w:lang w:val="en-US" w:eastAsia="zh-CN"/>
        </w:rPr>
      </w:pPr>
      <w:r>
        <w:rPr>
          <w:rFonts w:hint="eastAsia"/>
          <w:color w:val="auto"/>
          <w:lang w:val="en-US" w:eastAsia="zh-CN"/>
        </w:rPr>
        <w:t>口服类：供口服的食品，其剂型可包括但不限于片剂、液剂、粉剂等。</w:t>
      </w:r>
    </w:p>
    <w:p w14:paraId="123CD47F">
      <w:pPr>
        <w:pStyle w:val="175"/>
        <w:numPr>
          <w:ilvl w:val="0"/>
          <w:numId w:val="33"/>
        </w:numPr>
        <w:rPr>
          <w:rFonts w:hint="eastAsia"/>
          <w:color w:val="auto"/>
          <w:lang w:val="en-US" w:eastAsia="zh-CN"/>
        </w:rPr>
      </w:pPr>
      <w:r>
        <w:rPr>
          <w:rFonts w:hint="eastAsia"/>
          <w:color w:val="auto"/>
          <w:lang w:val="en-US" w:eastAsia="zh-CN"/>
        </w:rPr>
        <w:t>外用类：直接用于皮肤的化妆品，其剂型可包括但不限于膏霜、乳液、贴、膜等。</w:t>
      </w:r>
    </w:p>
    <w:p w14:paraId="31FD3DB6">
      <w:pPr>
        <w:pStyle w:val="105"/>
        <w:spacing w:before="240" w:after="240"/>
        <w:rPr>
          <w:rFonts w:hint="eastAsia"/>
          <w:color w:val="auto"/>
          <w:szCs w:val="21"/>
          <w:lang w:val="en-US" w:eastAsia="zh-CN"/>
        </w:rPr>
      </w:pPr>
      <w:bookmarkStart w:id="56" w:name="_Toc24793"/>
      <w:bookmarkStart w:id="57" w:name="_Toc9610"/>
      <w:r>
        <w:rPr>
          <w:rFonts w:hint="eastAsia"/>
          <w:color w:val="auto"/>
          <w:szCs w:val="21"/>
          <w:lang w:val="en-US" w:eastAsia="zh-CN"/>
        </w:rPr>
        <w:t>安全性评价</w:t>
      </w:r>
      <w:bookmarkEnd w:id="56"/>
      <w:bookmarkEnd w:id="57"/>
    </w:p>
    <w:p w14:paraId="717D104B">
      <w:pPr>
        <w:pStyle w:val="106"/>
        <w:rPr>
          <w:rFonts w:hint="eastAsia"/>
          <w:color w:val="auto"/>
          <w:lang w:val="en-US" w:eastAsia="zh-CN"/>
        </w:rPr>
      </w:pPr>
      <w:bookmarkStart w:id="58" w:name="_Toc332"/>
      <w:r>
        <w:rPr>
          <w:rFonts w:hint="eastAsia"/>
          <w:color w:val="auto"/>
          <w:lang w:val="en-US" w:eastAsia="zh-CN"/>
        </w:rPr>
        <w:t>原料安全性</w:t>
      </w:r>
      <w:bookmarkEnd w:id="58"/>
    </w:p>
    <w:p w14:paraId="516782D0">
      <w:pPr>
        <w:pStyle w:val="57"/>
        <w:rPr>
          <w:rFonts w:hint="eastAsia"/>
          <w:color w:val="auto"/>
          <w:lang w:val="en-US" w:eastAsia="zh-CN"/>
        </w:rPr>
      </w:pPr>
      <w:r>
        <w:rPr>
          <w:rFonts w:hint="eastAsia"/>
          <w:color w:val="auto"/>
          <w:lang w:val="en-US" w:eastAsia="zh-CN"/>
        </w:rPr>
        <w:t>依据《食品安全法》及相关食品安全国家标准，开展妆食同源产品中口服类食品的安全性评价。</w:t>
      </w:r>
    </w:p>
    <w:p w14:paraId="7907044F">
      <w:pPr>
        <w:pStyle w:val="106"/>
        <w:rPr>
          <w:rFonts w:hint="eastAsia"/>
          <w:color w:val="auto"/>
          <w:lang w:val="en-US" w:eastAsia="zh-CN"/>
        </w:rPr>
      </w:pPr>
      <w:bookmarkStart w:id="59" w:name="_Toc7161"/>
      <w:r>
        <w:rPr>
          <w:rFonts w:hint="eastAsia"/>
          <w:color w:val="auto"/>
          <w:lang w:val="en-US" w:eastAsia="zh-CN"/>
        </w:rPr>
        <w:t>化妆品安全性评价</w:t>
      </w:r>
      <w:bookmarkEnd w:id="59"/>
    </w:p>
    <w:p w14:paraId="23400AA0">
      <w:pPr>
        <w:pStyle w:val="57"/>
        <w:rPr>
          <w:rFonts w:hint="eastAsia"/>
          <w:color w:val="auto"/>
          <w:lang w:val="en-US" w:eastAsia="zh-CN"/>
        </w:rPr>
      </w:pPr>
      <w:r>
        <w:rPr>
          <w:rFonts w:hint="eastAsia"/>
          <w:color w:val="auto"/>
          <w:lang w:val="en-US" w:eastAsia="zh-CN"/>
        </w:rPr>
        <w:t>依据《化妆品监督管理条例》、《化妆品安全技术规范》、《化妆品安全评估技术导则》等相关法规文件，开展妆食同源产品外用类化妆品安全性评价。</w:t>
      </w:r>
    </w:p>
    <w:p w14:paraId="42A5C9FA">
      <w:pPr>
        <w:pStyle w:val="106"/>
        <w:rPr>
          <w:rFonts w:hint="eastAsia"/>
          <w:color w:val="auto"/>
          <w:lang w:val="en-US" w:eastAsia="zh-CN"/>
        </w:rPr>
      </w:pPr>
      <w:bookmarkStart w:id="60" w:name="_Toc4616"/>
      <w:r>
        <w:rPr>
          <w:rFonts w:hint="eastAsia"/>
          <w:color w:val="auto"/>
          <w:lang w:val="en-US" w:eastAsia="zh-CN"/>
        </w:rPr>
        <w:t>食品、化妆品联合应用的安全性评价</w:t>
      </w:r>
      <w:bookmarkEnd w:id="60"/>
    </w:p>
    <w:p w14:paraId="04EF7E88">
      <w:pPr>
        <w:pStyle w:val="57"/>
        <w:rPr>
          <w:rFonts w:hint="eastAsia"/>
          <w:color w:val="auto"/>
          <w:lang w:val="en-US" w:eastAsia="zh-CN"/>
        </w:rPr>
      </w:pPr>
      <w:r>
        <w:rPr>
          <w:rFonts w:hint="eastAsia"/>
          <w:color w:val="auto"/>
          <w:lang w:val="en-US" w:eastAsia="zh-CN"/>
        </w:rPr>
        <w:t>在联合使用场景下，除按照6.1和6.2单独开展食品和化妆品的安全性评价外，同时采用累积暴露评估方法，结合经口摄入量与经皮吸收量，依据《化妆品安全评估技术导则》，计算全身累计暴露剂量，并与对应的安全阈值进行比较，进行累积风险评估。</w:t>
      </w:r>
    </w:p>
    <w:p w14:paraId="03207D0D">
      <w:pPr>
        <w:pStyle w:val="105"/>
        <w:spacing w:before="240" w:after="240"/>
        <w:rPr>
          <w:rFonts w:hint="eastAsia"/>
          <w:color w:val="auto"/>
          <w:szCs w:val="21"/>
          <w:lang w:val="en-US" w:eastAsia="zh-CN"/>
        </w:rPr>
      </w:pPr>
      <w:bookmarkStart w:id="61" w:name="_Toc20438"/>
      <w:bookmarkStart w:id="62" w:name="_Toc11720"/>
      <w:r>
        <w:rPr>
          <w:rFonts w:hint="eastAsia"/>
          <w:color w:val="auto"/>
          <w:szCs w:val="21"/>
          <w:lang w:val="en-US" w:eastAsia="zh-CN"/>
        </w:rPr>
        <w:t>功效性评价</w:t>
      </w:r>
      <w:bookmarkEnd w:id="61"/>
      <w:bookmarkEnd w:id="62"/>
    </w:p>
    <w:p w14:paraId="7CBECA0A">
      <w:pPr>
        <w:pStyle w:val="106"/>
        <w:rPr>
          <w:rFonts w:hint="eastAsia"/>
          <w:color w:val="auto"/>
          <w:lang w:val="en-US" w:eastAsia="zh-CN"/>
        </w:rPr>
      </w:pPr>
      <w:bookmarkStart w:id="63" w:name="_Toc12336"/>
      <w:r>
        <w:rPr>
          <w:rFonts w:hint="eastAsia"/>
          <w:color w:val="auto"/>
          <w:lang w:val="en-US" w:eastAsia="zh-CN"/>
        </w:rPr>
        <w:t>评价原则</w:t>
      </w:r>
      <w:bookmarkEnd w:id="63"/>
    </w:p>
    <w:p w14:paraId="3D06D659">
      <w:pPr>
        <w:pStyle w:val="166"/>
        <w:ind w:left="0"/>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功效宣称必须有充分的科学依据，</w:t>
      </w:r>
      <w:r>
        <w:rPr>
          <w:rFonts w:hint="eastAsia" w:cs="Times New Roman"/>
          <w:color w:val="auto"/>
          <w:lang w:val="en-US" w:eastAsia="zh-CN"/>
        </w:rPr>
        <w:t>宜</w:t>
      </w:r>
      <w:r>
        <w:rPr>
          <w:rFonts w:hint="eastAsia" w:ascii="宋体" w:hAnsi="Times New Roman" w:eastAsia="宋体" w:cs="Times New Roman"/>
          <w:color w:val="auto"/>
          <w:lang w:val="en-US" w:eastAsia="zh-CN"/>
        </w:rPr>
        <w:t>构建包含体外试验、模型预测及人体功效评价试验在内的多层次证据体系。</w:t>
      </w:r>
    </w:p>
    <w:p w14:paraId="11B02A93">
      <w:pPr>
        <w:pStyle w:val="166"/>
        <w:ind w:left="0"/>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在开展人体试验前，鼓励采用体外试验或模型预测进行功效成分筛选、机理研究及安全性预评估。</w:t>
      </w:r>
    </w:p>
    <w:p w14:paraId="7392CD56">
      <w:pPr>
        <w:pStyle w:val="166"/>
        <w:ind w:left="0"/>
        <w:rPr>
          <w:rFonts w:hint="eastAsia" w:ascii="宋体" w:hAnsi="Times New Roman" w:eastAsia="宋体" w:cs="Times New Roman"/>
          <w:color w:val="auto"/>
          <w:lang w:val="en-US" w:eastAsia="zh-CN"/>
        </w:rPr>
      </w:pPr>
      <w:r>
        <w:rPr>
          <w:rFonts w:hint="eastAsia" w:ascii="宋体" w:hAnsi="Times New Roman" w:eastAsia="宋体" w:cs="Times New Roman"/>
          <w:color w:val="auto"/>
          <w:lang w:val="en-US" w:eastAsia="zh-CN"/>
        </w:rPr>
        <w:t>所选择的评价方法必须与产品的使用方式（口服/外用//联合应用）及其宣称的作用机理科学相符。</w:t>
      </w:r>
    </w:p>
    <w:p w14:paraId="5ABF0925">
      <w:pPr>
        <w:pStyle w:val="166"/>
        <w:ind w:left="0"/>
        <w:rPr>
          <w:rFonts w:hint="eastAsia" w:ascii="宋体" w:hAnsi="Times New Roman" w:eastAsia="宋体" w:cs="Times New Roman"/>
          <w:color w:val="auto"/>
          <w:lang w:val="en-US" w:eastAsia="zh-CN"/>
        </w:rPr>
      </w:pPr>
      <w:r>
        <w:rPr>
          <w:rFonts w:hint="eastAsia" w:cs="Times New Roman"/>
          <w:color w:val="auto"/>
          <w:lang w:val="en-US" w:eastAsia="zh-CN"/>
        </w:rPr>
        <w:t>宜</w:t>
      </w:r>
      <w:r>
        <w:rPr>
          <w:rFonts w:hint="eastAsia" w:ascii="宋体" w:hAnsi="Times New Roman" w:eastAsia="宋体" w:cs="Times New Roman"/>
          <w:color w:val="auto"/>
          <w:lang w:val="en-US" w:eastAsia="zh-CN"/>
        </w:rPr>
        <w:t>参考GB/T 29680</w:t>
      </w:r>
      <w:r>
        <w:rPr>
          <w:rFonts w:hint="eastAsia" w:cs="Times New Roman"/>
          <w:color w:val="auto"/>
          <w:lang w:val="en-US" w:eastAsia="zh-CN"/>
        </w:rPr>
        <w:t>、QB/T 4256、</w:t>
      </w:r>
      <w:r>
        <w:rPr>
          <w:rFonts w:hint="eastAsia" w:ascii="宋体" w:hAnsi="Times New Roman" w:eastAsia="宋体" w:cs="Times New Roman"/>
          <w:color w:val="auto"/>
          <w:lang w:val="en-US" w:eastAsia="zh-CN"/>
        </w:rPr>
        <w:t>‌T/FDSA 0097</w:t>
      </w:r>
      <w:r>
        <w:rPr>
          <w:rFonts w:hint="eastAsia" w:cs="Times New Roman"/>
          <w:color w:val="auto"/>
          <w:lang w:val="en-US" w:eastAsia="zh-CN"/>
        </w:rPr>
        <w:t>、</w:t>
      </w:r>
      <w:r>
        <w:rPr>
          <w:rFonts w:hint="eastAsia" w:ascii="宋体" w:hAnsi="Times New Roman" w:eastAsia="宋体" w:cs="Times New Roman"/>
          <w:color w:val="auto"/>
          <w:lang w:val="en-US" w:eastAsia="zh-CN"/>
        </w:rPr>
        <w:t>T/CAB 0152等国家已发布的化妆品功效评价相关指南文件，并结合食品功能评价方法进行综合设计</w:t>
      </w:r>
      <w:r>
        <w:rPr>
          <w:rFonts w:hint="eastAsia" w:cs="Times New Roman"/>
          <w:color w:val="auto"/>
          <w:lang w:val="en-US" w:eastAsia="zh-CN"/>
        </w:rPr>
        <w:t>。</w:t>
      </w:r>
    </w:p>
    <w:p w14:paraId="08630555">
      <w:pPr>
        <w:pStyle w:val="106"/>
        <w:rPr>
          <w:rFonts w:hint="default"/>
          <w:color w:val="auto"/>
          <w:lang w:val="en-US" w:eastAsia="zh-CN"/>
        </w:rPr>
      </w:pPr>
      <w:bookmarkStart w:id="64" w:name="_Toc31149"/>
      <w:r>
        <w:rPr>
          <w:rFonts w:hint="default"/>
          <w:color w:val="auto"/>
          <w:lang w:val="en-US" w:eastAsia="zh-CN"/>
        </w:rPr>
        <w:t>评价指标</w:t>
      </w:r>
      <w:bookmarkEnd w:id="64"/>
    </w:p>
    <w:p w14:paraId="594D5E06">
      <w:pPr>
        <w:pStyle w:val="57"/>
        <w:rPr>
          <w:rFonts w:hint="default"/>
          <w:color w:val="auto"/>
          <w:lang w:val="en-US" w:eastAsia="zh-CN"/>
        </w:rPr>
      </w:pPr>
      <w:r>
        <w:rPr>
          <w:rFonts w:hint="default"/>
          <w:color w:val="auto"/>
          <w:lang w:val="en-US" w:eastAsia="zh-CN"/>
        </w:rPr>
        <w:t>抗老类产品的功效评价指标应根据其使用方式（外用/口服/联合应用）及具体功效宣称进行选择。评价时应至少包括表1中与核心宣称相对应的两个主要指标或一个主要指标及两个次要指标，可采用推荐的或与之相当的仪器。</w:t>
      </w:r>
    </w:p>
    <w:p w14:paraId="7B47F5F5">
      <w:pPr>
        <w:rPr>
          <w:rFonts w:hint="default"/>
          <w:color w:val="auto"/>
          <w:lang w:val="en-US" w:eastAsia="zh-CN"/>
        </w:rPr>
      </w:pPr>
      <w:r>
        <w:rPr>
          <w:rFonts w:hint="default"/>
          <w:color w:val="auto"/>
          <w:lang w:val="en-US" w:eastAsia="zh-CN"/>
        </w:rPr>
        <w:br w:type="page"/>
      </w:r>
    </w:p>
    <w:p w14:paraId="0C948ECA">
      <w:pPr>
        <w:pStyle w:val="113"/>
        <w:spacing w:before="120" w:after="120"/>
        <w:rPr>
          <w:color w:val="auto"/>
        </w:rPr>
      </w:pPr>
      <w:r>
        <w:rPr>
          <w:rFonts w:hint="eastAsia"/>
          <w:color w:val="auto"/>
        </w:rPr>
        <w:t>抗老产品功效评价指标</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2"/>
        <w:gridCol w:w="3355"/>
        <w:gridCol w:w="3053"/>
        <w:gridCol w:w="1080"/>
      </w:tblGrid>
      <w:tr w14:paraId="65AA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082" w:type="dxa"/>
            <w:tcBorders>
              <w:top w:val="single" w:color="auto" w:sz="8" w:space="0"/>
              <w:left w:val="single" w:color="auto" w:sz="8" w:space="0"/>
              <w:bottom w:val="single" w:color="auto" w:sz="8" w:space="0"/>
            </w:tcBorders>
            <w:vAlign w:val="center"/>
          </w:tcPr>
          <w:p w14:paraId="35C2DCA4">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核心宣称</w:t>
            </w:r>
          </w:p>
        </w:tc>
        <w:tc>
          <w:tcPr>
            <w:tcW w:w="3355" w:type="dxa"/>
            <w:tcBorders>
              <w:top w:val="single" w:color="auto" w:sz="8" w:space="0"/>
              <w:bottom w:val="single" w:color="auto" w:sz="8" w:space="0"/>
            </w:tcBorders>
            <w:vAlign w:val="center"/>
          </w:tcPr>
          <w:p w14:paraId="4990DCEC">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评价指标</w:t>
            </w:r>
          </w:p>
        </w:tc>
        <w:tc>
          <w:tcPr>
            <w:tcW w:w="3053" w:type="dxa"/>
            <w:tcBorders>
              <w:top w:val="single" w:color="auto" w:sz="8" w:space="0"/>
              <w:bottom w:val="single" w:color="auto" w:sz="8" w:space="0"/>
            </w:tcBorders>
            <w:vAlign w:val="center"/>
          </w:tcPr>
          <w:p w14:paraId="67FE799D">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仪器设备（推荐）</w:t>
            </w:r>
          </w:p>
        </w:tc>
        <w:tc>
          <w:tcPr>
            <w:tcW w:w="1080" w:type="dxa"/>
            <w:tcBorders>
              <w:top w:val="single" w:color="auto" w:sz="8" w:space="0"/>
              <w:bottom w:val="single" w:color="auto" w:sz="8" w:space="0"/>
              <w:right w:val="single" w:color="auto" w:sz="8" w:space="0"/>
            </w:tcBorders>
            <w:vAlign w:val="center"/>
          </w:tcPr>
          <w:p w14:paraId="16B7C3EE">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主要/次要</w:t>
            </w:r>
          </w:p>
        </w:tc>
      </w:tr>
      <w:tr w14:paraId="313A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Borders>
              <w:top w:val="single" w:color="auto" w:sz="8" w:space="0"/>
              <w:left w:val="single" w:color="auto" w:sz="8" w:space="0"/>
            </w:tcBorders>
            <w:vAlign w:val="center"/>
          </w:tcPr>
          <w:p w14:paraId="16667D2C">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皮肤纹理与皱纹</w:t>
            </w:r>
          </w:p>
        </w:tc>
        <w:tc>
          <w:tcPr>
            <w:tcW w:w="3355" w:type="dxa"/>
            <w:tcBorders>
              <w:top w:val="single" w:color="auto" w:sz="8" w:space="0"/>
            </w:tcBorders>
            <w:vAlign w:val="center"/>
          </w:tcPr>
          <w:p w14:paraId="6F20B274">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粗糙度/光滑度、皱纹面积/体积/数量/深度</w:t>
            </w:r>
          </w:p>
        </w:tc>
        <w:tc>
          <w:tcPr>
            <w:tcW w:w="3053" w:type="dxa"/>
            <w:tcBorders>
              <w:top w:val="single" w:color="auto" w:sz="8" w:space="0"/>
            </w:tcBorders>
            <w:vAlign w:val="center"/>
          </w:tcPr>
          <w:p w14:paraId="6BE8F249">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皮肤表面纹理测试系统、</w:t>
            </w:r>
          </w:p>
          <w:p w14:paraId="48D5A7BE">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皮肤三维成像系统</w:t>
            </w:r>
          </w:p>
        </w:tc>
        <w:tc>
          <w:tcPr>
            <w:tcW w:w="1080" w:type="dxa"/>
            <w:tcBorders>
              <w:top w:val="single" w:color="auto" w:sz="8" w:space="0"/>
              <w:right w:val="single" w:color="auto" w:sz="8" w:space="0"/>
            </w:tcBorders>
            <w:vAlign w:val="center"/>
          </w:tcPr>
          <w:p w14:paraId="07C36F22">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主要</w:t>
            </w:r>
          </w:p>
        </w:tc>
      </w:tr>
      <w:tr w14:paraId="6144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082" w:type="dxa"/>
            <w:tcBorders>
              <w:left w:val="single" w:color="auto" w:sz="8" w:space="0"/>
            </w:tcBorders>
            <w:vAlign w:val="center"/>
          </w:tcPr>
          <w:p w14:paraId="29C67FBE">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皮肤弹性与紧致</w:t>
            </w:r>
          </w:p>
        </w:tc>
        <w:tc>
          <w:tcPr>
            <w:tcW w:w="3355" w:type="dxa"/>
            <w:vAlign w:val="center"/>
          </w:tcPr>
          <w:p w14:paraId="287739CF">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弹性R2/R5/R7值、</w:t>
            </w:r>
          </w:p>
          <w:p w14:paraId="612C1F02">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皮肤紧致度F4值</w:t>
            </w:r>
          </w:p>
        </w:tc>
        <w:tc>
          <w:tcPr>
            <w:tcW w:w="3053" w:type="dxa"/>
            <w:vAlign w:val="center"/>
          </w:tcPr>
          <w:p w14:paraId="5C419D9D">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皮肤弹性测试仪</w:t>
            </w:r>
          </w:p>
        </w:tc>
        <w:tc>
          <w:tcPr>
            <w:tcW w:w="1080" w:type="dxa"/>
            <w:tcBorders>
              <w:right w:val="single" w:color="auto" w:sz="8" w:space="0"/>
            </w:tcBorders>
            <w:vAlign w:val="center"/>
          </w:tcPr>
          <w:p w14:paraId="5A5613CC">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主要</w:t>
            </w:r>
          </w:p>
        </w:tc>
      </w:tr>
      <w:tr w14:paraId="678E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82" w:type="dxa"/>
            <w:tcBorders>
              <w:left w:val="single" w:color="auto" w:sz="8" w:space="0"/>
            </w:tcBorders>
            <w:vAlign w:val="center"/>
          </w:tcPr>
          <w:p w14:paraId="48506993">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皮肤色泽与光泽</w:t>
            </w:r>
          </w:p>
        </w:tc>
        <w:tc>
          <w:tcPr>
            <w:tcW w:w="3355" w:type="dxa"/>
            <w:vAlign w:val="center"/>
          </w:tcPr>
          <w:p w14:paraId="7E5475B6">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皮肤亮度</w:t>
            </w:r>
            <w:r>
              <w:rPr>
                <w:rFonts w:hint="eastAsia"/>
                <w:color w:val="auto"/>
                <w:sz w:val="18"/>
                <w:szCs w:val="18"/>
                <w:vertAlign w:val="baseline"/>
                <w:lang w:val="en-US" w:eastAsia="zh-CN"/>
              </w:rPr>
              <w:t>L</w:t>
            </w:r>
            <w:r>
              <w:rPr>
                <w:rFonts w:hint="default"/>
                <w:color w:val="auto"/>
                <w:sz w:val="18"/>
                <w:szCs w:val="18"/>
                <w:vertAlign w:val="baseline"/>
                <w:lang w:val="en-US" w:eastAsia="zh-CN"/>
              </w:rPr>
              <w:t>值、皮肤黄度b值、皮肤光泽度</w:t>
            </w:r>
          </w:p>
        </w:tc>
        <w:tc>
          <w:tcPr>
            <w:tcW w:w="3053" w:type="dxa"/>
            <w:vAlign w:val="center"/>
          </w:tcPr>
          <w:p w14:paraId="776E9702">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皮肤色度仪、</w:t>
            </w:r>
          </w:p>
          <w:p w14:paraId="5BEA69F7">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皮肤光泽度测试仪</w:t>
            </w:r>
          </w:p>
        </w:tc>
        <w:tc>
          <w:tcPr>
            <w:tcW w:w="1080" w:type="dxa"/>
            <w:tcBorders>
              <w:right w:val="single" w:color="auto" w:sz="8" w:space="0"/>
            </w:tcBorders>
            <w:vAlign w:val="center"/>
          </w:tcPr>
          <w:p w14:paraId="1BBC4DCA">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次要</w:t>
            </w:r>
          </w:p>
        </w:tc>
      </w:tr>
      <w:tr w14:paraId="5ECA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82" w:type="dxa"/>
            <w:tcBorders>
              <w:left w:val="single" w:color="auto" w:sz="8" w:space="0"/>
            </w:tcBorders>
            <w:vAlign w:val="center"/>
          </w:tcPr>
          <w:p w14:paraId="6DC0CCA2">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皮肤保湿与屏障</w:t>
            </w:r>
          </w:p>
        </w:tc>
        <w:tc>
          <w:tcPr>
            <w:tcW w:w="3355" w:type="dxa"/>
            <w:vAlign w:val="center"/>
          </w:tcPr>
          <w:p w14:paraId="553DE87F">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皮肤角质层水分含量、经皮水分流失率(TEWL)</w:t>
            </w:r>
          </w:p>
        </w:tc>
        <w:tc>
          <w:tcPr>
            <w:tcW w:w="3053" w:type="dxa"/>
            <w:shd w:val="clear" w:color="auto" w:fill="auto"/>
            <w:vAlign w:val="center"/>
          </w:tcPr>
          <w:p w14:paraId="6FBA2576">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皮肤角质层水分含量测试仪、</w:t>
            </w:r>
          </w:p>
          <w:p w14:paraId="4BAD8F0C">
            <w:pPr>
              <w:pStyle w:val="57"/>
              <w:ind w:left="0" w:leftChars="0" w:firstLine="0" w:firstLineChars="0"/>
              <w:jc w:val="center"/>
              <w:rPr>
                <w:rFonts w:hint="default" w:ascii="宋体" w:hAnsi="Times New Roman" w:eastAsia="宋体" w:cs="Times New Roman"/>
                <w:color w:val="auto"/>
                <w:sz w:val="18"/>
                <w:szCs w:val="18"/>
                <w:vertAlign w:val="baseline"/>
                <w:lang w:val="en-US" w:eastAsia="zh-CN" w:bidi="ar-SA"/>
              </w:rPr>
            </w:pPr>
            <w:r>
              <w:rPr>
                <w:rFonts w:hint="default"/>
                <w:color w:val="auto"/>
                <w:sz w:val="18"/>
                <w:szCs w:val="18"/>
                <w:vertAlign w:val="baseline"/>
                <w:lang w:val="en-US" w:eastAsia="zh-CN"/>
              </w:rPr>
              <w:t>经皮水分流失测试仪</w:t>
            </w:r>
          </w:p>
        </w:tc>
        <w:tc>
          <w:tcPr>
            <w:tcW w:w="1080" w:type="dxa"/>
            <w:tcBorders>
              <w:right w:val="single" w:color="auto" w:sz="8" w:space="0"/>
            </w:tcBorders>
            <w:vAlign w:val="center"/>
          </w:tcPr>
          <w:p w14:paraId="1971E969">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次要</w:t>
            </w:r>
          </w:p>
        </w:tc>
      </w:tr>
      <w:tr w14:paraId="15AE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82" w:type="dxa"/>
            <w:tcBorders>
              <w:left w:val="single" w:color="auto" w:sz="8" w:space="0"/>
            </w:tcBorders>
            <w:vAlign w:val="center"/>
          </w:tcPr>
          <w:p w14:paraId="69990E64">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皮肤表面特性</w:t>
            </w:r>
          </w:p>
        </w:tc>
        <w:tc>
          <w:tcPr>
            <w:tcW w:w="3355" w:type="dxa"/>
            <w:vAlign w:val="center"/>
          </w:tcPr>
          <w:p w14:paraId="46C16143">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皮脂含量/皮肤pH值/鳞屑指数</w:t>
            </w:r>
          </w:p>
        </w:tc>
        <w:tc>
          <w:tcPr>
            <w:tcW w:w="3053" w:type="dxa"/>
            <w:shd w:val="clear" w:color="auto" w:fill="auto"/>
            <w:vAlign w:val="center"/>
          </w:tcPr>
          <w:p w14:paraId="7447DC8D">
            <w:pPr>
              <w:pStyle w:val="57"/>
              <w:ind w:left="0" w:leftChars="0" w:firstLine="0" w:firstLineChars="0"/>
              <w:jc w:val="center"/>
              <w:rPr>
                <w:rFonts w:hint="default" w:ascii="宋体" w:hAnsi="Times New Roman" w:eastAsia="宋体" w:cs="Times New Roman"/>
                <w:color w:val="auto"/>
                <w:sz w:val="18"/>
                <w:szCs w:val="18"/>
                <w:vertAlign w:val="baseline"/>
                <w:lang w:val="en-US" w:eastAsia="zh-CN" w:bidi="ar-SA"/>
              </w:rPr>
            </w:pPr>
            <w:r>
              <w:rPr>
                <w:rFonts w:hint="default"/>
                <w:color w:val="auto"/>
                <w:sz w:val="18"/>
                <w:szCs w:val="18"/>
                <w:vertAlign w:val="baseline"/>
                <w:lang w:val="en-US" w:eastAsia="zh-CN"/>
              </w:rPr>
              <w:t>皮肤皮脂测试仪/皮肤pH计/皮肤表面纹理测试系统</w:t>
            </w:r>
          </w:p>
        </w:tc>
        <w:tc>
          <w:tcPr>
            <w:tcW w:w="1080" w:type="dxa"/>
            <w:tcBorders>
              <w:right w:val="single" w:color="auto" w:sz="8" w:space="0"/>
            </w:tcBorders>
            <w:vAlign w:val="center"/>
          </w:tcPr>
          <w:p w14:paraId="1859D04B">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次要</w:t>
            </w:r>
          </w:p>
        </w:tc>
      </w:tr>
      <w:tr w14:paraId="4363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Borders>
              <w:left w:val="single" w:color="auto" w:sz="8" w:space="0"/>
            </w:tcBorders>
            <w:vAlign w:val="center"/>
          </w:tcPr>
          <w:p w14:paraId="38C18267">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真皮结构改善</w:t>
            </w:r>
          </w:p>
        </w:tc>
        <w:tc>
          <w:tcPr>
            <w:tcW w:w="3355" w:type="dxa"/>
            <w:vAlign w:val="center"/>
          </w:tcPr>
          <w:p w14:paraId="373BA0A0">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真皮致密度、</w:t>
            </w:r>
          </w:p>
          <w:p w14:paraId="03199483">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真皮厚度</w:t>
            </w:r>
          </w:p>
        </w:tc>
        <w:tc>
          <w:tcPr>
            <w:tcW w:w="3053" w:type="dxa"/>
            <w:shd w:val="clear" w:color="auto" w:fill="auto"/>
            <w:vAlign w:val="center"/>
          </w:tcPr>
          <w:p w14:paraId="443CE4E3">
            <w:pPr>
              <w:pStyle w:val="57"/>
              <w:ind w:left="0" w:leftChars="0" w:firstLine="0" w:firstLineChars="0"/>
              <w:jc w:val="center"/>
              <w:rPr>
                <w:rFonts w:hint="default" w:ascii="宋体" w:hAnsi="Times New Roman" w:eastAsia="宋体" w:cs="Times New Roman"/>
                <w:color w:val="auto"/>
                <w:sz w:val="18"/>
                <w:szCs w:val="18"/>
                <w:vertAlign w:val="baseline"/>
                <w:lang w:val="en-US" w:eastAsia="zh-CN" w:bidi="ar-SA"/>
              </w:rPr>
            </w:pPr>
            <w:r>
              <w:rPr>
                <w:rFonts w:hint="default"/>
                <w:color w:val="auto"/>
                <w:sz w:val="18"/>
                <w:szCs w:val="18"/>
                <w:vertAlign w:val="baseline"/>
                <w:lang w:val="en-US" w:eastAsia="zh-CN"/>
              </w:rPr>
              <w:t>皮肤超声诊断仪</w:t>
            </w:r>
          </w:p>
        </w:tc>
        <w:tc>
          <w:tcPr>
            <w:tcW w:w="1080" w:type="dxa"/>
            <w:tcBorders>
              <w:right w:val="single" w:color="auto" w:sz="8" w:space="0"/>
            </w:tcBorders>
            <w:vAlign w:val="center"/>
          </w:tcPr>
          <w:p w14:paraId="7053513B">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次要</w:t>
            </w:r>
          </w:p>
        </w:tc>
      </w:tr>
      <w:tr w14:paraId="2EEE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082" w:type="dxa"/>
            <w:tcBorders>
              <w:left w:val="single" w:color="auto" w:sz="8" w:space="0"/>
            </w:tcBorders>
            <w:vAlign w:val="center"/>
          </w:tcPr>
          <w:p w14:paraId="1434BA9E">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抗氧化标志物</w:t>
            </w:r>
          </w:p>
        </w:tc>
        <w:tc>
          <w:tcPr>
            <w:tcW w:w="3355" w:type="dxa"/>
            <w:shd w:val="clear" w:color="auto" w:fill="auto"/>
            <w:vAlign w:val="center"/>
          </w:tcPr>
          <w:p w14:paraId="598DD855">
            <w:pPr>
              <w:pStyle w:val="57"/>
              <w:ind w:left="0" w:leftChars="0" w:firstLine="0" w:firstLineChars="0"/>
              <w:jc w:val="center"/>
              <w:rPr>
                <w:rFonts w:hint="default" w:ascii="宋体" w:hAnsi="Times New Roman" w:eastAsia="宋体" w:cs="Times New Roman"/>
                <w:color w:val="auto"/>
                <w:sz w:val="18"/>
                <w:szCs w:val="18"/>
                <w:vertAlign w:val="baseline"/>
                <w:lang w:val="en-US" w:eastAsia="zh-CN" w:bidi="ar-SA"/>
              </w:rPr>
            </w:pPr>
            <w:r>
              <w:rPr>
                <w:rFonts w:hint="default"/>
                <w:color w:val="auto"/>
                <w:sz w:val="18"/>
                <w:szCs w:val="18"/>
                <w:vertAlign w:val="baseline"/>
                <w:lang w:val="en-US" w:eastAsia="zh-CN"/>
              </w:rPr>
              <w:t>脂质氧化产物/超氧化物歧化酶(</w:t>
            </w:r>
            <w:r>
              <w:rPr>
                <w:rFonts w:hint="eastAsia"/>
                <w:color w:val="auto"/>
                <w:sz w:val="18"/>
                <w:szCs w:val="18"/>
                <w:vertAlign w:val="baseline"/>
                <w:lang w:val="en-US" w:eastAsia="zh-CN"/>
              </w:rPr>
              <w:t>SO</w:t>
            </w:r>
            <w:r>
              <w:rPr>
                <w:rFonts w:hint="default"/>
                <w:color w:val="auto"/>
                <w:sz w:val="18"/>
                <w:szCs w:val="18"/>
                <w:vertAlign w:val="baseline"/>
                <w:lang w:val="en-US" w:eastAsia="zh-CN"/>
              </w:rPr>
              <w:t>D)/谷胱甘肽过氧化物酶</w:t>
            </w:r>
          </w:p>
        </w:tc>
        <w:tc>
          <w:tcPr>
            <w:tcW w:w="3053" w:type="dxa"/>
            <w:shd w:val="clear" w:color="auto" w:fill="auto"/>
            <w:vAlign w:val="center"/>
          </w:tcPr>
          <w:p w14:paraId="50C25B5B">
            <w:pPr>
              <w:pStyle w:val="57"/>
              <w:ind w:left="0" w:leftChars="0" w:firstLine="0" w:firstLineChars="0"/>
              <w:jc w:val="center"/>
              <w:rPr>
                <w:rFonts w:hint="default" w:ascii="宋体" w:hAnsi="Times New Roman" w:eastAsia="宋体" w:cs="Times New Roman"/>
                <w:color w:val="auto"/>
                <w:sz w:val="18"/>
                <w:szCs w:val="18"/>
                <w:vertAlign w:val="baseline"/>
                <w:lang w:val="en-US" w:eastAsia="zh-CN" w:bidi="ar-SA"/>
              </w:rPr>
            </w:pPr>
            <w:r>
              <w:rPr>
                <w:rFonts w:hint="default"/>
                <w:color w:val="auto"/>
                <w:sz w:val="18"/>
                <w:szCs w:val="18"/>
                <w:vertAlign w:val="baseline"/>
                <w:lang w:val="en-US" w:eastAsia="zh-CN"/>
              </w:rPr>
              <w:t>激光共聚焦显微镜/紫外分光光度计/酶标仪/全自动生化分析仪/荧光显微镜</w:t>
            </w:r>
          </w:p>
        </w:tc>
        <w:tc>
          <w:tcPr>
            <w:tcW w:w="1080" w:type="dxa"/>
            <w:tcBorders>
              <w:right w:val="single" w:color="auto" w:sz="8" w:space="0"/>
            </w:tcBorders>
            <w:vAlign w:val="center"/>
          </w:tcPr>
          <w:p w14:paraId="6E1FBB0E">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次要</w:t>
            </w:r>
          </w:p>
        </w:tc>
      </w:tr>
      <w:tr w14:paraId="53D0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Borders>
              <w:left w:val="single" w:color="auto" w:sz="8" w:space="0"/>
              <w:bottom w:val="single" w:color="auto" w:sz="8" w:space="0"/>
            </w:tcBorders>
            <w:vAlign w:val="center"/>
          </w:tcPr>
          <w:p w14:paraId="489874DC">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抗糖化标志物</w:t>
            </w:r>
          </w:p>
        </w:tc>
        <w:tc>
          <w:tcPr>
            <w:tcW w:w="3355" w:type="dxa"/>
            <w:tcBorders>
              <w:bottom w:val="single" w:color="auto" w:sz="8" w:space="0"/>
            </w:tcBorders>
            <w:shd w:val="clear" w:color="auto" w:fill="auto"/>
            <w:vAlign w:val="center"/>
          </w:tcPr>
          <w:p w14:paraId="671EEDF0">
            <w:pPr>
              <w:pStyle w:val="57"/>
              <w:ind w:left="0" w:leftChars="0" w:firstLine="0" w:firstLineChars="0"/>
              <w:jc w:val="center"/>
              <w:rPr>
                <w:rFonts w:hint="default"/>
                <w:color w:val="auto"/>
                <w:sz w:val="18"/>
                <w:szCs w:val="18"/>
                <w:vertAlign w:val="baseline"/>
                <w:lang w:val="en-US" w:eastAsia="zh-CN"/>
              </w:rPr>
            </w:pPr>
            <w:r>
              <w:rPr>
                <w:rFonts w:hint="default"/>
                <w:color w:val="auto"/>
                <w:sz w:val="18"/>
                <w:szCs w:val="18"/>
                <w:vertAlign w:val="baseline"/>
                <w:lang w:val="en-US" w:eastAsia="zh-CN"/>
              </w:rPr>
              <w:t>晚期糖基化终末产物</w:t>
            </w:r>
          </w:p>
          <w:p w14:paraId="0725C22A">
            <w:pPr>
              <w:pStyle w:val="57"/>
              <w:ind w:left="0" w:leftChars="0" w:firstLine="0" w:firstLineChars="0"/>
              <w:jc w:val="center"/>
              <w:rPr>
                <w:rFonts w:hint="default" w:ascii="宋体" w:hAnsi="Times New Roman" w:eastAsia="宋体" w:cs="Times New Roman"/>
                <w:color w:val="auto"/>
                <w:sz w:val="18"/>
                <w:szCs w:val="18"/>
                <w:vertAlign w:val="baseline"/>
                <w:lang w:val="en-US" w:eastAsia="zh-CN" w:bidi="ar-SA"/>
              </w:rPr>
            </w:pPr>
            <w:r>
              <w:rPr>
                <w:rFonts w:hint="default"/>
                <w:color w:val="auto"/>
                <w:sz w:val="18"/>
                <w:szCs w:val="18"/>
                <w:vertAlign w:val="baseline"/>
                <w:lang w:val="en-US" w:eastAsia="zh-CN"/>
              </w:rPr>
              <w:t>(AGEs)</w:t>
            </w:r>
          </w:p>
        </w:tc>
        <w:tc>
          <w:tcPr>
            <w:tcW w:w="3053" w:type="dxa"/>
            <w:tcBorders>
              <w:bottom w:val="single" w:color="auto" w:sz="8" w:space="0"/>
            </w:tcBorders>
            <w:shd w:val="clear" w:color="auto" w:fill="auto"/>
            <w:vAlign w:val="center"/>
          </w:tcPr>
          <w:p w14:paraId="7429ECB8">
            <w:pPr>
              <w:pStyle w:val="57"/>
              <w:ind w:left="0" w:leftChars="0" w:firstLine="0" w:firstLineChars="0"/>
              <w:jc w:val="center"/>
              <w:rPr>
                <w:rFonts w:hint="default" w:ascii="宋体" w:hAnsi="Times New Roman" w:eastAsia="宋体" w:cs="Times New Roman"/>
                <w:color w:val="auto"/>
                <w:sz w:val="18"/>
                <w:szCs w:val="18"/>
                <w:vertAlign w:val="baseline"/>
                <w:lang w:val="en-US" w:eastAsia="zh-CN" w:bidi="ar-SA"/>
              </w:rPr>
            </w:pPr>
            <w:r>
              <w:rPr>
                <w:rFonts w:hint="default"/>
                <w:color w:val="auto"/>
                <w:sz w:val="18"/>
                <w:szCs w:val="18"/>
                <w:vertAlign w:val="baseline"/>
                <w:lang w:val="en-US" w:eastAsia="zh-CN"/>
              </w:rPr>
              <w:t>皮肤晚期糖基化终产物检测仪高效液相色谱仪/多功能酶标仪/荧光显微镜</w:t>
            </w:r>
          </w:p>
        </w:tc>
        <w:tc>
          <w:tcPr>
            <w:tcW w:w="1080" w:type="dxa"/>
            <w:tcBorders>
              <w:bottom w:val="single" w:color="auto" w:sz="8" w:space="0"/>
              <w:right w:val="single" w:color="auto" w:sz="8" w:space="0"/>
            </w:tcBorders>
            <w:vAlign w:val="center"/>
          </w:tcPr>
          <w:p w14:paraId="5B88D4F9">
            <w:pPr>
              <w:pStyle w:val="57"/>
              <w:ind w:left="0" w:leftChars="0" w:firstLine="0" w:firstLineChars="0"/>
              <w:jc w:val="center"/>
              <w:rPr>
                <w:rFonts w:hint="default"/>
                <w:color w:val="auto"/>
                <w:sz w:val="18"/>
                <w:szCs w:val="18"/>
                <w:vertAlign w:val="baseline"/>
                <w:lang w:val="en-US" w:eastAsia="zh-CN"/>
              </w:rPr>
            </w:pPr>
            <w:r>
              <w:rPr>
                <w:rFonts w:hint="eastAsia"/>
                <w:color w:val="auto"/>
                <w:sz w:val="18"/>
                <w:szCs w:val="18"/>
                <w:vertAlign w:val="baseline"/>
                <w:lang w:val="en-US" w:eastAsia="zh-CN"/>
              </w:rPr>
              <w:t>次要</w:t>
            </w:r>
          </w:p>
        </w:tc>
      </w:tr>
    </w:tbl>
    <w:p w14:paraId="3F13F55B">
      <w:pPr>
        <w:pStyle w:val="57"/>
        <w:ind w:left="0" w:leftChars="0" w:firstLine="0" w:firstLineChars="0"/>
        <w:rPr>
          <w:rFonts w:hint="default"/>
          <w:color w:val="auto"/>
          <w:lang w:val="en-US" w:eastAsia="zh-CN"/>
        </w:rPr>
      </w:pPr>
    </w:p>
    <w:p w14:paraId="3AE4E197">
      <w:pPr>
        <w:pStyle w:val="106"/>
        <w:rPr>
          <w:rFonts w:hint="default"/>
          <w:color w:val="auto"/>
          <w:lang w:val="en-US" w:eastAsia="zh-CN"/>
        </w:rPr>
      </w:pPr>
      <w:bookmarkStart w:id="65" w:name="_Toc30213"/>
      <w:r>
        <w:rPr>
          <w:rFonts w:hint="default"/>
          <w:color w:val="auto"/>
          <w:lang w:val="en-US" w:eastAsia="zh-CN"/>
        </w:rPr>
        <w:t>评价试验要求</w:t>
      </w:r>
      <w:bookmarkEnd w:id="65"/>
    </w:p>
    <w:p w14:paraId="7E74D558">
      <w:pPr>
        <w:pStyle w:val="166"/>
        <w:ind w:left="0"/>
        <w:rPr>
          <w:rFonts w:hint="default" w:ascii="宋体" w:hAnsi="Times New Roman" w:eastAsia="宋体" w:cs="Times New Roman"/>
          <w:color w:val="auto"/>
          <w:lang w:val="en-US" w:eastAsia="zh-CN"/>
        </w:rPr>
      </w:pPr>
      <w:r>
        <w:rPr>
          <w:rFonts w:hint="default" w:ascii="宋体" w:hAnsi="Times New Roman" w:eastAsia="宋体" w:cs="Times New Roman"/>
          <w:color w:val="auto"/>
          <w:lang w:val="en-US" w:eastAsia="zh-CN"/>
        </w:rPr>
        <w:t>人体功效评价试验应采用随机、对照、双盲的科学设计。受试者人数应满足统计学要求。</w:t>
      </w:r>
    </w:p>
    <w:p w14:paraId="171C8576">
      <w:pPr>
        <w:pStyle w:val="166"/>
        <w:ind w:left="0"/>
        <w:rPr>
          <w:rFonts w:hint="default" w:ascii="宋体" w:hAnsi="Times New Roman" w:eastAsia="宋体" w:cs="Times New Roman"/>
          <w:color w:val="auto"/>
          <w:lang w:val="en-US" w:eastAsia="zh-CN"/>
        </w:rPr>
      </w:pPr>
      <w:r>
        <w:rPr>
          <w:rFonts w:hint="default" w:ascii="宋体" w:hAnsi="Times New Roman" w:eastAsia="宋体" w:cs="Times New Roman"/>
          <w:color w:val="auto"/>
          <w:lang w:val="en-US" w:eastAsia="zh-CN"/>
        </w:rPr>
        <w:t>试验周期应根据产品作用机理和宣称的起效时间设定。</w:t>
      </w:r>
    </w:p>
    <w:p w14:paraId="589D2D8B">
      <w:pPr>
        <w:pStyle w:val="166"/>
        <w:ind w:left="0"/>
        <w:rPr>
          <w:rFonts w:hint="default" w:ascii="宋体" w:hAnsi="Times New Roman" w:eastAsia="宋体" w:cs="Times New Roman"/>
          <w:color w:val="auto"/>
          <w:lang w:val="en-US" w:eastAsia="zh-CN"/>
        </w:rPr>
      </w:pPr>
      <w:r>
        <w:rPr>
          <w:rFonts w:hint="default" w:ascii="宋体" w:hAnsi="Times New Roman" w:eastAsia="宋体" w:cs="Times New Roman"/>
          <w:color w:val="auto"/>
          <w:lang w:val="en-US" w:eastAsia="zh-CN"/>
        </w:rPr>
        <w:t>试验结果应进行统计学分析，功效宣称应基于与对照组或基线相比具有统计学显著性的改善。</w:t>
      </w:r>
    </w:p>
    <w:p w14:paraId="6A9A4738">
      <w:pPr>
        <w:pStyle w:val="166"/>
        <w:ind w:left="0"/>
        <w:rPr>
          <w:rFonts w:hint="default" w:ascii="宋体" w:hAnsi="Times New Roman" w:eastAsia="宋体" w:cs="Times New Roman"/>
          <w:color w:val="auto"/>
          <w:lang w:val="en-US" w:eastAsia="zh-CN"/>
        </w:rPr>
      </w:pPr>
      <w:r>
        <w:rPr>
          <w:rFonts w:hint="default" w:ascii="宋体" w:hAnsi="Times New Roman" w:eastAsia="宋体" w:cs="Times New Roman"/>
          <w:color w:val="auto"/>
          <w:lang w:val="en-US" w:eastAsia="zh-CN"/>
        </w:rPr>
        <w:t>对于本</w:t>
      </w:r>
      <w:r>
        <w:rPr>
          <w:rFonts w:hint="eastAsia" w:ascii="宋体" w:hAnsi="Times New Roman" w:eastAsia="宋体" w:cs="Times New Roman"/>
          <w:color w:val="auto"/>
          <w:lang w:val="en-US" w:eastAsia="zh-CN"/>
        </w:rPr>
        <w:t>文件</w:t>
      </w:r>
      <w:r>
        <w:rPr>
          <w:rFonts w:hint="default" w:ascii="宋体" w:hAnsi="Times New Roman" w:eastAsia="宋体" w:cs="Times New Roman"/>
          <w:color w:val="auto"/>
          <w:lang w:val="en-US" w:eastAsia="zh-CN"/>
        </w:rPr>
        <w:t>定义的产品，为深入验证产品的抗老作用机理及确保其有效性，鼓励进行以下研究</w:t>
      </w:r>
      <w:r>
        <w:rPr>
          <w:rFonts w:hint="eastAsia" w:cs="Times New Roman"/>
          <w:color w:val="auto"/>
          <w:lang w:val="en-US" w:eastAsia="zh-CN"/>
        </w:rPr>
        <w:t>：</w:t>
      </w:r>
    </w:p>
    <w:p w14:paraId="2B65C3DF">
      <w:pPr>
        <w:pStyle w:val="175"/>
        <w:numPr>
          <w:ilvl w:val="0"/>
          <w:numId w:val="34"/>
        </w:numPr>
        <w:rPr>
          <w:rFonts w:hint="default"/>
          <w:color w:val="auto"/>
          <w:lang w:val="en-US" w:eastAsia="zh-CN"/>
        </w:rPr>
      </w:pPr>
      <w:r>
        <w:rPr>
          <w:rFonts w:hint="default"/>
          <w:color w:val="auto"/>
          <w:lang w:val="en-US" w:eastAsia="zh-CN"/>
        </w:rPr>
        <w:t>皮肤抗氧化能力综合评价：可通过体外化学方法（如自由基清除率、总氧自由基吸收能力）、细胞模型（如紫外线诱导的成纤维细胞氧化应激模型）或人体试验（通过非侵入性或微创性方法检测皮肤生物标志物）进行分层评价；</w:t>
      </w:r>
    </w:p>
    <w:p w14:paraId="6A6144B0">
      <w:pPr>
        <w:pStyle w:val="175"/>
        <w:numPr>
          <w:ilvl w:val="0"/>
          <w:numId w:val="34"/>
        </w:numPr>
        <w:rPr>
          <w:rFonts w:hint="default"/>
          <w:color w:val="auto"/>
          <w:lang w:val="en-US" w:eastAsia="zh-CN"/>
        </w:rPr>
      </w:pPr>
      <w:r>
        <w:rPr>
          <w:rFonts w:hint="default"/>
          <w:color w:val="auto"/>
          <w:lang w:val="en-US" w:eastAsia="zh-CN"/>
        </w:rPr>
        <w:t>产品经皮输送特性研究：对于宣称活性成分需作用于皮肤深层的外用产品，鼓励通过体外透皮试验研究关键功效成分的透皮速率、渗透总量及在皮肤各层的滞留量，为产品配方的透皮效率与功效相关性提供科学依据；</w:t>
      </w:r>
    </w:p>
    <w:p w14:paraId="1CA751B5">
      <w:pPr>
        <w:pStyle w:val="175"/>
        <w:numPr>
          <w:ilvl w:val="0"/>
          <w:numId w:val="34"/>
        </w:numPr>
        <w:rPr>
          <w:rFonts w:hint="default"/>
          <w:color w:val="auto"/>
          <w:lang w:val="en-US" w:eastAsia="zh-CN"/>
        </w:rPr>
      </w:pPr>
      <w:r>
        <w:rPr>
          <w:rFonts w:hint="default"/>
          <w:color w:val="auto"/>
          <w:lang w:val="en-US" w:eastAsia="zh-CN"/>
        </w:rPr>
        <w:t>皮肤生物力学与屏障综合评估：皮肤的光滑、紧致与屏障功能密切相关。除表1中基础指标外，可结合皮肤微循环、表皮更新速率（如胶带剥离法）等动态指标进行综合评估，以全面反映皮肤健康状态及抗老效果。</w:t>
      </w:r>
    </w:p>
    <w:p w14:paraId="13972508">
      <w:pPr>
        <w:pStyle w:val="175"/>
        <w:numPr>
          <w:ilvl w:val="0"/>
          <w:numId w:val="34"/>
        </w:numPr>
        <w:rPr>
          <w:rFonts w:hint="default"/>
          <w:color w:val="auto"/>
          <w:lang w:val="en-US" w:eastAsia="zh-CN"/>
        </w:rPr>
      </w:pPr>
      <w:r>
        <w:rPr>
          <w:rFonts w:hint="default"/>
          <w:color w:val="auto"/>
          <w:lang w:val="en-US" w:eastAsia="zh-CN"/>
        </w:rPr>
        <w:t>生物利用度探索：通过体外或人体研究，分析关键活性成分的吸收、分布、代谢与排泄过程，明确其生物利用度及能否有效递送至靶组织（如皮肤）；</w:t>
      </w:r>
    </w:p>
    <w:p w14:paraId="29846A6F">
      <w:pPr>
        <w:pStyle w:val="175"/>
        <w:numPr>
          <w:ilvl w:val="0"/>
          <w:numId w:val="34"/>
        </w:numPr>
        <w:rPr>
          <w:rFonts w:hint="default"/>
          <w:color w:val="auto"/>
          <w:lang w:val="en-US" w:eastAsia="zh-CN"/>
        </w:rPr>
      </w:pPr>
      <w:r>
        <w:rPr>
          <w:rFonts w:hint="default"/>
          <w:color w:val="auto"/>
          <w:lang w:val="en-US" w:eastAsia="zh-CN"/>
        </w:rPr>
        <w:t>系统生物学效应研究：利用基因组学、蛋白质组学或代谢组学等方法，研究产品对机体衰老相关通路（如氧化应激、炎症、细胞自噬、细胞外基质代谢）的系统性调节作用；</w:t>
      </w:r>
    </w:p>
    <w:p w14:paraId="08A6CA38">
      <w:pPr>
        <w:pStyle w:val="175"/>
        <w:numPr>
          <w:ilvl w:val="0"/>
          <w:numId w:val="34"/>
        </w:numPr>
        <w:rPr>
          <w:rStyle w:val="236"/>
          <w:rFonts w:hint="default" w:ascii="宋体" w:hAnsi="宋体" w:eastAsia="宋体"/>
          <w:color w:val="auto"/>
          <w:sz w:val="21"/>
          <w:szCs w:val="21"/>
          <w:lang w:val="en-US" w:eastAsia="zh-CN"/>
        </w:rPr>
      </w:pPr>
      <w:r>
        <w:rPr>
          <w:rFonts w:hint="default"/>
          <w:color w:val="auto"/>
          <w:lang w:val="en-US" w:eastAsia="zh-CN"/>
        </w:rPr>
        <w:t>皮肤特异性生物标志物关联研究：在人体试验中，尝试建立口服后血液或尿液中的特定生物标志物（如特定活性成分的代谢物、系统性氧化/炎症指标）与皮肤表观改善指标（如表1中的皱纹、弹性）之间的相关性，为“内服外养”的协同作用提供机制关联证据。</w:t>
      </w:r>
    </w:p>
    <w:p w14:paraId="31BA4EBE">
      <w:pPr>
        <w:pStyle w:val="175"/>
        <w:numPr>
          <w:ilvl w:val="0"/>
          <w:numId w:val="0"/>
        </w:numPr>
        <w:jc w:val="both"/>
        <w:rPr>
          <w:rFonts w:hint="default"/>
          <w:color w:val="auto"/>
          <w:lang w:val="en-US" w:eastAsia="zh-CN"/>
        </w:rPr>
      </w:pPr>
    </w:p>
    <w:p w14:paraId="60503B19">
      <w:pPr>
        <w:pStyle w:val="175"/>
        <w:numPr>
          <w:ilvl w:val="0"/>
          <w:numId w:val="0"/>
        </w:numPr>
        <w:jc w:val="both"/>
        <w:rPr>
          <w:rFonts w:hint="default"/>
          <w:color w:val="auto"/>
          <w:lang w:val="en-US" w:eastAsia="zh-CN"/>
        </w:rPr>
      </w:pPr>
    </w:p>
    <w:p w14:paraId="688608C3">
      <w:pPr>
        <w:pStyle w:val="175"/>
        <w:numPr>
          <w:ilvl w:val="0"/>
          <w:numId w:val="0"/>
        </w:numPr>
        <w:jc w:val="both"/>
        <w:rPr>
          <w:rFonts w:hint="default"/>
          <w:color w:val="auto"/>
          <w:lang w:val="en-US" w:eastAsia="zh-CN"/>
        </w:rPr>
      </w:pPr>
    </w:p>
    <w:p w14:paraId="52E9858A">
      <w:pPr>
        <w:pStyle w:val="175"/>
        <w:numPr>
          <w:ilvl w:val="0"/>
          <w:numId w:val="0"/>
        </w:numPr>
        <w:jc w:val="both"/>
        <w:rPr>
          <w:rFonts w:hint="default"/>
          <w:color w:val="auto"/>
          <w:lang w:val="en-US" w:eastAsia="zh-CN"/>
        </w:rPr>
        <w:sectPr>
          <w:headerReference r:id="rId12" w:type="default"/>
          <w:footerReference r:id="rId14" w:type="default"/>
          <w:headerReference r:id="rId13" w:type="even"/>
          <w:footerReference r:id="rId15" w:type="even"/>
          <w:pgSz w:w="11906" w:h="16838"/>
          <w:pgMar w:top="1928" w:right="1134" w:bottom="1134" w:left="1134" w:header="1418" w:footer="1134" w:gutter="284"/>
          <w:pgNumType w:fmt="decimal" w:start="1"/>
          <w:cols w:space="425" w:num="1"/>
          <w:formProt w:val="0"/>
          <w:docGrid w:linePitch="312" w:charSpace="0"/>
        </w:sectPr>
      </w:pPr>
    </w:p>
    <w:p w14:paraId="5D451628">
      <w:pPr>
        <w:pStyle w:val="64"/>
        <w:spacing w:before="850" w:after="283" w:afterLines="0"/>
        <w:rPr>
          <w:color w:val="auto"/>
          <w:spacing w:val="105"/>
        </w:rPr>
      </w:pPr>
      <w:bookmarkStart w:id="66" w:name="_Toc187322428"/>
      <w:bookmarkStart w:id="67" w:name="_Toc14319"/>
      <w:bookmarkStart w:id="68" w:name="_Toc21956"/>
      <w:bookmarkStart w:id="69" w:name="_Toc12502"/>
      <w:bookmarkStart w:id="70" w:name="_Toc11250"/>
      <w:r>
        <w:rPr>
          <w:rFonts w:hint="eastAsia"/>
          <w:color w:val="auto"/>
          <w:spacing w:val="105"/>
        </w:rPr>
        <w:t>参考文献</w:t>
      </w:r>
      <w:bookmarkEnd w:id="66"/>
      <w:bookmarkEnd w:id="67"/>
      <w:bookmarkEnd w:id="68"/>
      <w:bookmarkEnd w:id="69"/>
      <w:bookmarkEnd w:id="70"/>
    </w:p>
    <w:p w14:paraId="2F5A739D">
      <w:pPr>
        <w:widowControl/>
        <w:numPr>
          <w:ilvl w:val="0"/>
          <w:numId w:val="35"/>
        </w:numPr>
        <w:adjustRightInd w:val="0"/>
        <w:spacing w:line="24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 xml:space="preserve"> </w:t>
      </w:r>
      <w:r>
        <w:rPr>
          <w:rFonts w:hint="default" w:ascii="宋体" w:hAnsi="宋体" w:cs="宋体"/>
          <w:color w:val="auto"/>
          <w:lang w:val="en-US" w:eastAsia="zh-CN"/>
        </w:rPr>
        <w:t>中华人民共和国食品安全法</w:t>
      </w:r>
      <w:r>
        <w:rPr>
          <w:rFonts w:hint="eastAsia" w:ascii="宋体" w:hAnsi="宋体" w:cs="宋体"/>
          <w:color w:val="auto"/>
        </w:rPr>
        <w:t>（中华人民共和国主席令第二十一号公布）</w:t>
      </w:r>
    </w:p>
    <w:p w14:paraId="7C6DEDD1">
      <w:pPr>
        <w:widowControl/>
        <w:numPr>
          <w:ilvl w:val="0"/>
          <w:numId w:val="35"/>
        </w:numPr>
        <w:adjustRightInd w:val="0"/>
        <w:spacing w:line="24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 xml:space="preserve"> </w:t>
      </w:r>
      <w:r>
        <w:rPr>
          <w:rFonts w:hint="default" w:ascii="宋体" w:hAnsi="宋体" w:cs="宋体"/>
          <w:color w:val="auto"/>
          <w:lang w:val="en-US" w:eastAsia="zh-CN"/>
        </w:rPr>
        <w:t>化妆品监督管理条例</w:t>
      </w:r>
      <w:r>
        <w:rPr>
          <w:rFonts w:hint="eastAsia" w:ascii="宋体" w:hAnsi="宋体" w:cs="宋体"/>
          <w:color w:val="auto"/>
        </w:rPr>
        <w:t>（中华人民共和国国务院令第727号的公告）</w:t>
      </w:r>
    </w:p>
    <w:p w14:paraId="4EBABCD2">
      <w:pPr>
        <w:widowControl/>
        <w:numPr>
          <w:ilvl w:val="0"/>
          <w:numId w:val="35"/>
        </w:numPr>
        <w:adjustRightInd w:val="0"/>
        <w:spacing w:line="24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 xml:space="preserve"> </w:t>
      </w:r>
      <w:r>
        <w:rPr>
          <w:rFonts w:hint="default" w:ascii="宋体" w:hAnsi="宋体" w:cs="宋体"/>
          <w:color w:val="auto"/>
          <w:lang w:val="en-US" w:eastAsia="zh-CN"/>
        </w:rPr>
        <w:t>化妆品生产质量管理规范</w:t>
      </w:r>
      <w:r>
        <w:rPr>
          <w:rFonts w:hint="eastAsia" w:ascii="宋体" w:hAnsi="宋体" w:cs="宋体"/>
          <w:color w:val="auto"/>
          <w:lang w:val="en-US" w:eastAsia="zh-CN"/>
        </w:rPr>
        <w:t>（国家药品监督管理局2022年第1号发布）</w:t>
      </w:r>
    </w:p>
    <w:p w14:paraId="20D319DF">
      <w:pPr>
        <w:widowControl/>
        <w:numPr>
          <w:ilvl w:val="0"/>
          <w:numId w:val="35"/>
        </w:numPr>
        <w:adjustRightInd w:val="0"/>
        <w:spacing w:line="24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 xml:space="preserve"> </w:t>
      </w:r>
      <w:r>
        <w:rPr>
          <w:rFonts w:hint="default" w:ascii="宋体" w:hAnsi="宋体" w:cs="宋体"/>
          <w:color w:val="auto"/>
          <w:lang w:val="en-US" w:eastAsia="zh-CN"/>
        </w:rPr>
        <w:t>保健食品功能检验与评价方法</w:t>
      </w:r>
      <w:r>
        <w:rPr>
          <w:rFonts w:hint="eastAsia" w:ascii="宋体" w:hAnsi="宋体" w:cs="宋体"/>
          <w:color w:val="auto"/>
          <w:lang w:val="en-US" w:eastAsia="zh-CN"/>
        </w:rPr>
        <w:t>（2023年版）（市场监管总局  国家卫生健康委  国家中医药局关于发布《允许保健食品声称的保健功能目录非营养素补充剂(2023年版)》及配套文件的公告）</w:t>
      </w:r>
    </w:p>
    <w:p w14:paraId="59549A65">
      <w:pPr>
        <w:widowControl/>
        <w:numPr>
          <w:ilvl w:val="0"/>
          <w:numId w:val="35"/>
        </w:numPr>
        <w:adjustRightInd w:val="0"/>
        <w:spacing w:line="24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 xml:space="preserve"> </w:t>
      </w:r>
      <w:r>
        <w:rPr>
          <w:rFonts w:hint="default" w:ascii="宋体" w:hAnsi="宋体" w:cs="宋体"/>
          <w:color w:val="auto"/>
          <w:lang w:val="en-US" w:eastAsia="zh-CN"/>
        </w:rPr>
        <w:t>化妆品功效宣称评价规范</w:t>
      </w:r>
      <w:r>
        <w:rPr>
          <w:rFonts w:hint="eastAsia" w:ascii="宋体" w:hAnsi="宋体" w:cs="宋体"/>
          <w:color w:val="auto"/>
        </w:rPr>
        <w:t>（国家药品监督管理局公告2021年第50号的公告）</w:t>
      </w:r>
    </w:p>
    <w:p w14:paraId="4A150012">
      <w:pPr>
        <w:widowControl/>
        <w:numPr>
          <w:ilvl w:val="0"/>
          <w:numId w:val="35"/>
        </w:numPr>
        <w:adjustRightInd w:val="0"/>
        <w:spacing w:line="24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 xml:space="preserve"> </w:t>
      </w:r>
      <w:r>
        <w:rPr>
          <w:rFonts w:hint="default" w:ascii="宋体" w:hAnsi="宋体" w:cs="宋体"/>
          <w:color w:val="auto"/>
          <w:lang w:val="en-US" w:eastAsia="zh-CN"/>
        </w:rPr>
        <w:t>化妆品新原料安全使用历史研究和判定指南（试行）</w:t>
      </w:r>
      <w:r>
        <w:rPr>
          <w:rFonts w:hint="eastAsia" w:ascii="宋体" w:hAnsi="宋体" w:cs="宋体"/>
          <w:color w:val="auto"/>
          <w:lang w:val="en-US" w:eastAsia="zh-CN"/>
        </w:rPr>
        <w:t>（中国食品药品检定研究院</w:t>
      </w:r>
      <w:r>
        <w:rPr>
          <w:rFonts w:hint="default" w:ascii="宋体" w:hAnsi="宋体" w:cs="宋体"/>
          <w:color w:val="auto"/>
          <w:lang w:val="en-US" w:eastAsia="zh-CN"/>
        </w:rPr>
        <w:t>2025</w:t>
      </w:r>
      <w:r>
        <w:rPr>
          <w:rFonts w:hint="eastAsia" w:ascii="宋体" w:hAnsi="宋体" w:cs="宋体"/>
          <w:color w:val="auto"/>
          <w:lang w:val="en-US" w:eastAsia="zh-CN"/>
        </w:rPr>
        <w:t>年6月24日发布）</w:t>
      </w:r>
    </w:p>
    <w:p w14:paraId="7C524A48">
      <w:pPr>
        <w:widowControl/>
        <w:numPr>
          <w:ilvl w:val="0"/>
          <w:numId w:val="35"/>
        </w:numPr>
        <w:adjustRightInd w:val="0"/>
        <w:spacing w:line="24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 xml:space="preserve"> </w:t>
      </w:r>
      <w:r>
        <w:rPr>
          <w:rFonts w:hint="default" w:ascii="宋体" w:hAnsi="宋体" w:cs="宋体"/>
          <w:color w:val="auto"/>
          <w:lang w:val="en-US" w:eastAsia="zh-CN"/>
        </w:rPr>
        <w:t>化妆品安全评估技术导则</w:t>
      </w:r>
      <w:r>
        <w:rPr>
          <w:rFonts w:hint="eastAsia" w:ascii="宋体" w:hAnsi="宋体" w:cs="宋体"/>
          <w:color w:val="auto"/>
        </w:rPr>
        <w:t>（国家药品监督管理局公告2021年第51号的公告）</w:t>
      </w:r>
    </w:p>
    <w:p w14:paraId="15B2CC31">
      <w:pPr>
        <w:widowControl/>
        <w:numPr>
          <w:ilvl w:val="0"/>
          <w:numId w:val="35"/>
        </w:numPr>
        <w:adjustRightInd w:val="0"/>
        <w:spacing w:line="24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 xml:space="preserve"> </w:t>
      </w:r>
      <w:r>
        <w:rPr>
          <w:rFonts w:hint="default" w:ascii="宋体" w:hAnsi="宋体" w:cs="宋体"/>
          <w:color w:val="auto"/>
          <w:lang w:val="en-US" w:eastAsia="zh-CN"/>
        </w:rPr>
        <w:t>化妆品新原料注册备案资料管理规定</w:t>
      </w:r>
      <w:r>
        <w:rPr>
          <w:rFonts w:hint="eastAsia" w:ascii="宋体" w:hAnsi="宋体" w:cs="宋体"/>
          <w:color w:val="auto"/>
          <w:lang w:val="en-US" w:eastAsia="zh-CN"/>
        </w:rPr>
        <w:t>（</w:t>
      </w:r>
      <w:r>
        <w:rPr>
          <w:rFonts w:hint="eastAsia" w:ascii="宋体" w:hAnsi="宋体" w:cs="宋体"/>
          <w:color w:val="auto"/>
        </w:rPr>
        <w:t>国家药品监督管理局</w:t>
      </w:r>
      <w:r>
        <w:rPr>
          <w:rFonts w:hint="eastAsia" w:ascii="宋体" w:hAnsi="宋体" w:cs="宋体"/>
          <w:color w:val="auto"/>
          <w:lang w:val="en-US" w:eastAsia="zh-CN"/>
        </w:rPr>
        <w:t>公告2021年第31号公布）</w:t>
      </w:r>
    </w:p>
    <w:p w14:paraId="5661ED4D">
      <w:pPr>
        <w:widowControl/>
        <w:numPr>
          <w:ilvl w:val="0"/>
          <w:numId w:val="35"/>
        </w:numPr>
        <w:adjustRightInd w:val="0"/>
        <w:spacing w:line="24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 xml:space="preserve"> </w:t>
      </w:r>
      <w:r>
        <w:rPr>
          <w:rFonts w:hint="default" w:ascii="宋体" w:hAnsi="宋体" w:cs="宋体"/>
          <w:color w:val="auto"/>
          <w:lang w:val="en-US" w:eastAsia="zh-CN"/>
        </w:rPr>
        <w:t>保健食品原料目录与保健功能目录管理办法</w:t>
      </w:r>
      <w:r>
        <w:rPr>
          <w:rFonts w:hint="eastAsia" w:ascii="宋体" w:hAnsi="宋体" w:cs="宋体"/>
          <w:color w:val="auto"/>
          <w:lang w:val="en-US" w:eastAsia="zh-CN"/>
        </w:rPr>
        <w:t>（国家市场监督管理总局令第13号公布）</w:t>
      </w:r>
    </w:p>
    <w:p w14:paraId="2ACC678D">
      <w:pPr>
        <w:widowControl/>
        <w:numPr>
          <w:ilvl w:val="0"/>
          <w:numId w:val="35"/>
        </w:numPr>
        <w:adjustRightInd w:val="0"/>
        <w:spacing w:line="24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 xml:space="preserve"> </w:t>
      </w:r>
      <w:r>
        <w:rPr>
          <w:rFonts w:hint="default" w:ascii="宋体" w:hAnsi="宋体" w:cs="宋体"/>
          <w:color w:val="auto"/>
          <w:lang w:val="en-US" w:eastAsia="zh-CN"/>
        </w:rPr>
        <w:t>化妆品安全技术规范</w:t>
      </w:r>
      <w:r>
        <w:rPr>
          <w:rFonts w:hint="eastAsia" w:ascii="宋体" w:hAnsi="宋体" w:cs="宋体"/>
          <w:color w:val="auto"/>
        </w:rPr>
        <w:t>（2015年版）（国家食品药品监督管理总局2015年第268号的公告）</w:t>
      </w:r>
    </w:p>
    <w:p w14:paraId="53924140">
      <w:pPr>
        <w:widowControl/>
        <w:numPr>
          <w:ilvl w:val="0"/>
          <w:numId w:val="35"/>
        </w:numPr>
        <w:adjustRightInd w:val="0"/>
        <w:spacing w:line="24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 xml:space="preserve"> </w:t>
      </w:r>
      <w:r>
        <w:rPr>
          <w:rFonts w:hint="default" w:ascii="宋体" w:hAnsi="宋体" w:cs="宋体"/>
          <w:color w:val="auto"/>
          <w:lang w:val="en-US" w:eastAsia="zh-CN"/>
        </w:rPr>
        <w:t>保健食品注册与备案管理办法</w:t>
      </w:r>
      <w:r>
        <w:rPr>
          <w:rFonts w:hint="eastAsia" w:ascii="宋体" w:hAnsi="宋体" w:cs="宋体"/>
          <w:color w:val="auto"/>
          <w:lang w:val="en-US" w:eastAsia="zh-CN"/>
        </w:rPr>
        <w:t>（国家食品药品监督管理总局令第22号公布）</w:t>
      </w:r>
    </w:p>
    <w:p w14:paraId="05383AEC">
      <w:pPr>
        <w:pStyle w:val="175"/>
        <w:numPr>
          <w:ilvl w:val="0"/>
          <w:numId w:val="0"/>
        </w:numPr>
        <w:rPr>
          <w:rFonts w:hint="default"/>
          <w:color w:val="auto"/>
          <w:lang w:val="en-US" w:eastAsia="zh-CN"/>
        </w:rPr>
      </w:pPr>
    </w:p>
    <w:bookmarkEnd w:id="19"/>
    <w:p w14:paraId="36D3B118">
      <w:pPr>
        <w:pStyle w:val="57"/>
        <w:ind w:firstLine="0" w:firstLineChars="0"/>
        <w:jc w:val="center"/>
      </w:pPr>
      <w:bookmarkStart w:id="71" w:name="_Toc3465"/>
      <w:bookmarkEnd w:id="71"/>
      <w:bookmarkStart w:id="72" w:name="_Toc22629"/>
      <w:bookmarkEnd w:id="72"/>
      <w:bookmarkStart w:id="73" w:name="_Toc18403"/>
      <w:bookmarkEnd w:id="73"/>
      <w:bookmarkStart w:id="74" w:name="_Toc169106132"/>
      <w:bookmarkEnd w:id="74"/>
      <w:bookmarkStart w:id="75" w:name="_Toc9137"/>
      <w:bookmarkEnd w:id="75"/>
      <w:bookmarkStart w:id="76" w:name="BookMark8"/>
      <w:r>
        <w:drawing>
          <wp:inline distT="0" distB="0" distL="0" distR="0">
            <wp:extent cx="1485900" cy="317500"/>
            <wp:effectExtent l="0" t="0" r="0" b="6350"/>
            <wp:docPr id="1477142437" name="图片 1"/>
            <wp:cNvGraphicFramePr/>
            <a:graphic xmlns:a="http://schemas.openxmlformats.org/drawingml/2006/main">
              <a:graphicData uri="http://schemas.openxmlformats.org/drawingml/2006/picture">
                <pic:pic xmlns:pic="http://schemas.openxmlformats.org/drawingml/2006/picture">
                  <pic:nvPicPr>
                    <pic:cNvPr id="1477142437"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pgSz w:w="11906" w:h="16838"/>
      <w:pgMar w:top="1928" w:right="1134" w:bottom="1134" w:left="1134" w:header="1418" w:footer="1134" w:gutter="284"/>
      <w:pgNumType w:fmt="decimal"/>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99EF3">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6A984">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B6A984">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40E4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F272">
    <w:pPr>
      <w:pStyle w:val="5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5821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495821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EF4D">
    <w:pPr>
      <w:pStyle w:val="17"/>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D0DB6">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0ED0DB6">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0739">
    <w:pPr>
      <w:pStyle w:val="5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B2BE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2B2BE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096E9">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E2E3F">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8E2E3F">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AAE9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F59F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5460E">
    <w:pPr>
      <w:pStyle w:val="62"/>
      <w:spacing w:line="400" w:lineRule="exact"/>
      <w:rPr>
        <w:rFonts w:hint="eastAsia"/>
      </w:rPr>
    </w:pPr>
    <w:r>
      <w:rPr>
        <w:rFonts w:hint="eastAsia"/>
      </w:rPr>
      <w:t>T/CEATEC 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2366D">
    <w:pPr>
      <w:pStyle w:val="18"/>
      <w:spacing w:line="400" w:lineRule="exact"/>
      <w:jc w:val="right"/>
      <w:rPr>
        <w:rFonts w:hint="eastAsia" w:ascii="黑体" w:hAnsi="黑体" w:eastAsia="黑体" w:cs="黑体"/>
        <w:sz w:val="21"/>
        <w:szCs w:val="21"/>
      </w:rPr>
    </w:pPr>
    <w:r>
      <w:rPr>
        <w:rFonts w:hint="eastAsia" w:ascii="黑体" w:hAnsi="黑体" w:eastAsia="黑体" w:cs="黑体"/>
        <w:sz w:val="21"/>
        <w:szCs w:val="21"/>
      </w:rPr>
      <w:t>T/CEATEC 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23663">
    <w:pPr>
      <w:pStyle w:val="18"/>
      <w:spacing w:line="400" w:lineRule="exact"/>
      <w:jc w:val="right"/>
      <w:rPr>
        <w:rFonts w:hint="eastAsia" w:ascii="黑体" w:hAnsi="黑体" w:eastAsia="黑体" w:cs="黑体"/>
        <w:sz w:val="21"/>
        <w:szCs w:val="21"/>
      </w:rPr>
    </w:pPr>
    <w:r>
      <w:rPr>
        <w:rFonts w:hint="eastAsia" w:ascii="黑体" w:hAnsi="黑体" w:eastAsia="黑体" w:cs="黑体"/>
        <w:sz w:val="21"/>
        <w:szCs w:val="21"/>
      </w:rPr>
      <w:t>T/CEATEC 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A5D74">
    <w:pPr>
      <w:pStyle w:val="18"/>
      <w:jc w:val="both"/>
      <w:rPr>
        <w:rFonts w:hint="eastAsia" w:ascii="黑体" w:hAnsi="黑体" w:eastAsia="黑体" w:cs="黑体"/>
        <w:sz w:val="21"/>
        <w:szCs w:val="21"/>
      </w:rPr>
    </w:pPr>
    <w:r>
      <w:rPr>
        <w:rFonts w:hint="eastAsia" w:ascii="黑体" w:hAnsi="黑体" w:eastAsia="黑体" w:cs="黑体"/>
        <w:sz w:val="21"/>
        <w:szCs w:val="21"/>
      </w:rPr>
      <w:t>T/CEATEC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BA83D2F"/>
    <w:multiLevelType w:val="multilevel"/>
    <w:tmpl w:val="1BA83D2F"/>
    <w:lvl w:ilvl="0" w:tentative="0">
      <w:start w:val="2"/>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pStyle w:val="232"/>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464A9A0"/>
    <w:multiLevelType w:val="singleLevel"/>
    <w:tmpl w:val="2464A9A0"/>
    <w:lvl w:ilvl="0" w:tentative="0">
      <w:start w:val="1"/>
      <w:numFmt w:val="decimal"/>
      <w:suff w:val="space"/>
      <w:lvlText w:val="[%1]"/>
      <w:lvlJc w:val="left"/>
      <w:rPr>
        <w:rFonts w:hint="default" w:ascii="宋体" w:hAnsi="宋体" w:eastAsia="宋体" w:cs="宋体"/>
      </w:r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10"/>
  </w:num>
  <w:num w:numId="10">
    <w:abstractNumId w:val="18"/>
  </w:num>
  <w:num w:numId="11">
    <w:abstractNumId w:val="27"/>
  </w:num>
  <w:num w:numId="12">
    <w:abstractNumId w:val="13"/>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0Yzk0NzhlY2Y1OWU2NTM1NDY2YWNjMTJhZTQzZjUifQ=="/>
    <w:docVar w:name="KSO_WPS_MARK_KEY" w:val="27fe5fdd-0f28-4f41-bfe1-246c9ce2ec35"/>
  </w:docVars>
  <w:rsids>
    <w:rsidRoot w:val="009E50CF"/>
    <w:rsid w:val="0000040A"/>
    <w:rsid w:val="00000A94"/>
    <w:rsid w:val="00001972"/>
    <w:rsid w:val="00001D9A"/>
    <w:rsid w:val="00006438"/>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AC5"/>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523"/>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57DD"/>
    <w:rsid w:val="000F67E9"/>
    <w:rsid w:val="00104926"/>
    <w:rsid w:val="00113B1E"/>
    <w:rsid w:val="0011711C"/>
    <w:rsid w:val="00124E4F"/>
    <w:rsid w:val="001260B7"/>
    <w:rsid w:val="001265CB"/>
    <w:rsid w:val="001321C6"/>
    <w:rsid w:val="001325C4"/>
    <w:rsid w:val="00133010"/>
    <w:rsid w:val="001338EE"/>
    <w:rsid w:val="0013393B"/>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3B8"/>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329"/>
    <w:rsid w:val="002A1589"/>
    <w:rsid w:val="002A1608"/>
    <w:rsid w:val="002A25DC"/>
    <w:rsid w:val="002A3AAB"/>
    <w:rsid w:val="002A4CEA"/>
    <w:rsid w:val="002A5977"/>
    <w:rsid w:val="002A5A13"/>
    <w:rsid w:val="002A757F"/>
    <w:rsid w:val="002A7F44"/>
    <w:rsid w:val="002B0C40"/>
    <w:rsid w:val="002B1966"/>
    <w:rsid w:val="002B4508"/>
    <w:rsid w:val="002B5779"/>
    <w:rsid w:val="002B62BA"/>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974"/>
    <w:rsid w:val="002F7AF6"/>
    <w:rsid w:val="00300E63"/>
    <w:rsid w:val="00301CE8"/>
    <w:rsid w:val="00302F5F"/>
    <w:rsid w:val="0030441D"/>
    <w:rsid w:val="00306063"/>
    <w:rsid w:val="00313B85"/>
    <w:rsid w:val="0031760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7494"/>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189"/>
    <w:rsid w:val="003A3D9C"/>
    <w:rsid w:val="003A4077"/>
    <w:rsid w:val="003A4AA7"/>
    <w:rsid w:val="003B09AD"/>
    <w:rsid w:val="003B1F18"/>
    <w:rsid w:val="003B5BF0"/>
    <w:rsid w:val="003B60BF"/>
    <w:rsid w:val="003B6BE3"/>
    <w:rsid w:val="003C010C"/>
    <w:rsid w:val="003C0A6C"/>
    <w:rsid w:val="003C1237"/>
    <w:rsid w:val="003C14F8"/>
    <w:rsid w:val="003C570C"/>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880"/>
    <w:rsid w:val="00432DAA"/>
    <w:rsid w:val="00434305"/>
    <w:rsid w:val="00435DF7"/>
    <w:rsid w:val="0043741A"/>
    <w:rsid w:val="0044083F"/>
    <w:rsid w:val="00441AE7"/>
    <w:rsid w:val="00445574"/>
    <w:rsid w:val="004467FB"/>
    <w:rsid w:val="0045072E"/>
    <w:rsid w:val="00452D6B"/>
    <w:rsid w:val="00454484"/>
    <w:rsid w:val="0045517B"/>
    <w:rsid w:val="00463B77"/>
    <w:rsid w:val="00463C7B"/>
    <w:rsid w:val="004644A6"/>
    <w:rsid w:val="00465799"/>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631"/>
    <w:rsid w:val="00512F6E"/>
    <w:rsid w:val="00513038"/>
    <w:rsid w:val="00514174"/>
    <w:rsid w:val="00516088"/>
    <w:rsid w:val="00516B0B"/>
    <w:rsid w:val="005220EC"/>
    <w:rsid w:val="00523F95"/>
    <w:rsid w:val="00524D65"/>
    <w:rsid w:val="0052559C"/>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5154"/>
    <w:rsid w:val="00586630"/>
    <w:rsid w:val="00587ADD"/>
    <w:rsid w:val="00593A49"/>
    <w:rsid w:val="00596160"/>
    <w:rsid w:val="005966E2"/>
    <w:rsid w:val="00597007"/>
    <w:rsid w:val="00597832"/>
    <w:rsid w:val="005A0966"/>
    <w:rsid w:val="005A11B7"/>
    <w:rsid w:val="005A260B"/>
    <w:rsid w:val="005A4A1B"/>
    <w:rsid w:val="005A4C86"/>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881"/>
    <w:rsid w:val="005D6A95"/>
    <w:rsid w:val="005D6B2C"/>
    <w:rsid w:val="005D6D9C"/>
    <w:rsid w:val="005E207E"/>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704"/>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73F"/>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CB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C19"/>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0CF"/>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5BC"/>
    <w:rsid w:val="00A15A67"/>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DE5"/>
    <w:rsid w:val="00B50E50"/>
    <w:rsid w:val="00B52120"/>
    <w:rsid w:val="00B54ABC"/>
    <w:rsid w:val="00B56FBE"/>
    <w:rsid w:val="00B60ACF"/>
    <w:rsid w:val="00B62B58"/>
    <w:rsid w:val="00B65149"/>
    <w:rsid w:val="00B66567"/>
    <w:rsid w:val="00B66F52"/>
    <w:rsid w:val="00B66FE5"/>
    <w:rsid w:val="00B701B7"/>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27A0F"/>
    <w:rsid w:val="00C33E50"/>
    <w:rsid w:val="00C34C20"/>
    <w:rsid w:val="00C35A3E"/>
    <w:rsid w:val="00C42130"/>
    <w:rsid w:val="00C423A4"/>
    <w:rsid w:val="00C423E3"/>
    <w:rsid w:val="00C44BF5"/>
    <w:rsid w:val="00C50423"/>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5E"/>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06E"/>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26C2"/>
    <w:rsid w:val="00E2552F"/>
    <w:rsid w:val="00E3137A"/>
    <w:rsid w:val="00E32CCF"/>
    <w:rsid w:val="00E34A98"/>
    <w:rsid w:val="00E35D1E"/>
    <w:rsid w:val="00E364F9"/>
    <w:rsid w:val="00E365FA"/>
    <w:rsid w:val="00E36789"/>
    <w:rsid w:val="00E44A83"/>
    <w:rsid w:val="00E502C1"/>
    <w:rsid w:val="00E502DD"/>
    <w:rsid w:val="00E50D3A"/>
    <w:rsid w:val="00E51387"/>
    <w:rsid w:val="00E514F2"/>
    <w:rsid w:val="00E51E68"/>
    <w:rsid w:val="00E52EFD"/>
    <w:rsid w:val="00E5408A"/>
    <w:rsid w:val="00E56800"/>
    <w:rsid w:val="00E60C63"/>
    <w:rsid w:val="00E6177C"/>
    <w:rsid w:val="00E62FF9"/>
    <w:rsid w:val="00E635D6"/>
    <w:rsid w:val="00E639BC"/>
    <w:rsid w:val="00E664CC"/>
    <w:rsid w:val="00E70388"/>
    <w:rsid w:val="00E70F92"/>
    <w:rsid w:val="00E715B7"/>
    <w:rsid w:val="00E74313"/>
    <w:rsid w:val="00E74C54"/>
    <w:rsid w:val="00E77A03"/>
    <w:rsid w:val="00E816AE"/>
    <w:rsid w:val="00E822E8"/>
    <w:rsid w:val="00E82554"/>
    <w:rsid w:val="00E82606"/>
    <w:rsid w:val="00E831C1"/>
    <w:rsid w:val="00E846C8"/>
    <w:rsid w:val="00E84957"/>
    <w:rsid w:val="00E84A55"/>
    <w:rsid w:val="00E85BFF"/>
    <w:rsid w:val="00E8731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8FF"/>
    <w:rsid w:val="00EB5EDF"/>
    <w:rsid w:val="00EB60FE"/>
    <w:rsid w:val="00EB74DB"/>
    <w:rsid w:val="00EC5359"/>
    <w:rsid w:val="00EC562A"/>
    <w:rsid w:val="00ED067A"/>
    <w:rsid w:val="00ED0C85"/>
    <w:rsid w:val="00ED2B50"/>
    <w:rsid w:val="00ED4ED9"/>
    <w:rsid w:val="00EE0350"/>
    <w:rsid w:val="00EE0719"/>
    <w:rsid w:val="00EE0E80"/>
    <w:rsid w:val="00EE613F"/>
    <w:rsid w:val="00EE7295"/>
    <w:rsid w:val="00EE7869"/>
    <w:rsid w:val="00EF054A"/>
    <w:rsid w:val="00EF3235"/>
    <w:rsid w:val="00EF7E72"/>
    <w:rsid w:val="00F027CF"/>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729"/>
    <w:rsid w:val="00F33817"/>
    <w:rsid w:val="00F420D5"/>
    <w:rsid w:val="00F451EA"/>
    <w:rsid w:val="00F45447"/>
    <w:rsid w:val="00F456C6"/>
    <w:rsid w:val="00F4577B"/>
    <w:rsid w:val="00F46496"/>
    <w:rsid w:val="00F474D0"/>
    <w:rsid w:val="00F50179"/>
    <w:rsid w:val="00F50E86"/>
    <w:rsid w:val="00F515EE"/>
    <w:rsid w:val="00F56511"/>
    <w:rsid w:val="00F610D3"/>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7F7"/>
    <w:rsid w:val="00FA662D"/>
    <w:rsid w:val="00FA73B1"/>
    <w:rsid w:val="00FB0CB9"/>
    <w:rsid w:val="00FB231D"/>
    <w:rsid w:val="00FB45F1"/>
    <w:rsid w:val="00FB4A72"/>
    <w:rsid w:val="00FB54E8"/>
    <w:rsid w:val="00FB62F5"/>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5A3203"/>
    <w:rsid w:val="02B83666"/>
    <w:rsid w:val="034026E5"/>
    <w:rsid w:val="03D82661"/>
    <w:rsid w:val="040C0819"/>
    <w:rsid w:val="04620439"/>
    <w:rsid w:val="049D5915"/>
    <w:rsid w:val="04FC6AE0"/>
    <w:rsid w:val="04FF37F0"/>
    <w:rsid w:val="054F61E4"/>
    <w:rsid w:val="05A770EB"/>
    <w:rsid w:val="06775B3D"/>
    <w:rsid w:val="06C93013"/>
    <w:rsid w:val="077010BF"/>
    <w:rsid w:val="083D1770"/>
    <w:rsid w:val="085208B6"/>
    <w:rsid w:val="0948602B"/>
    <w:rsid w:val="09E90ADF"/>
    <w:rsid w:val="0A23066B"/>
    <w:rsid w:val="0B5C677C"/>
    <w:rsid w:val="0BDC4F75"/>
    <w:rsid w:val="0C1C6680"/>
    <w:rsid w:val="0E66721D"/>
    <w:rsid w:val="0F024CF3"/>
    <w:rsid w:val="105F17DA"/>
    <w:rsid w:val="10760832"/>
    <w:rsid w:val="10A65B52"/>
    <w:rsid w:val="11416E95"/>
    <w:rsid w:val="11EC3A38"/>
    <w:rsid w:val="12C14EC5"/>
    <w:rsid w:val="14E01A72"/>
    <w:rsid w:val="14F275B8"/>
    <w:rsid w:val="14F90946"/>
    <w:rsid w:val="15BF393E"/>
    <w:rsid w:val="17147CB9"/>
    <w:rsid w:val="18807923"/>
    <w:rsid w:val="188D1AD1"/>
    <w:rsid w:val="1A2E57DE"/>
    <w:rsid w:val="1AF04599"/>
    <w:rsid w:val="1AF35E37"/>
    <w:rsid w:val="1B704C4D"/>
    <w:rsid w:val="1D1C1676"/>
    <w:rsid w:val="1DAC49BC"/>
    <w:rsid w:val="1DE1641B"/>
    <w:rsid w:val="1E085DDD"/>
    <w:rsid w:val="1F204D21"/>
    <w:rsid w:val="1F2A60D0"/>
    <w:rsid w:val="1F8B2AE2"/>
    <w:rsid w:val="208328D1"/>
    <w:rsid w:val="209E0CC0"/>
    <w:rsid w:val="20D10954"/>
    <w:rsid w:val="21876094"/>
    <w:rsid w:val="21AB4111"/>
    <w:rsid w:val="22AA5DC6"/>
    <w:rsid w:val="22B514E9"/>
    <w:rsid w:val="242A2CE1"/>
    <w:rsid w:val="25317C88"/>
    <w:rsid w:val="25AA404B"/>
    <w:rsid w:val="26EC6EB4"/>
    <w:rsid w:val="27075144"/>
    <w:rsid w:val="276460F3"/>
    <w:rsid w:val="27C9064C"/>
    <w:rsid w:val="27FB074E"/>
    <w:rsid w:val="29BA649E"/>
    <w:rsid w:val="2A333352"/>
    <w:rsid w:val="2A465F84"/>
    <w:rsid w:val="2A653A97"/>
    <w:rsid w:val="2A8D3BB3"/>
    <w:rsid w:val="2ADC5EC3"/>
    <w:rsid w:val="2B6C7C6C"/>
    <w:rsid w:val="2BCF1FA9"/>
    <w:rsid w:val="2CF25F4F"/>
    <w:rsid w:val="2D2C23DC"/>
    <w:rsid w:val="2DDE47F7"/>
    <w:rsid w:val="2DF53F49"/>
    <w:rsid w:val="2E7A26A0"/>
    <w:rsid w:val="2F081A5A"/>
    <w:rsid w:val="2FA9008B"/>
    <w:rsid w:val="2FBB4D1E"/>
    <w:rsid w:val="305116BA"/>
    <w:rsid w:val="30F71D86"/>
    <w:rsid w:val="32CC50D6"/>
    <w:rsid w:val="349C1E6A"/>
    <w:rsid w:val="35327830"/>
    <w:rsid w:val="35747E49"/>
    <w:rsid w:val="359A7184"/>
    <w:rsid w:val="35CA24E1"/>
    <w:rsid w:val="363548EE"/>
    <w:rsid w:val="37347DEC"/>
    <w:rsid w:val="37635F17"/>
    <w:rsid w:val="37ED1E46"/>
    <w:rsid w:val="381551E7"/>
    <w:rsid w:val="38A711E2"/>
    <w:rsid w:val="38D27E91"/>
    <w:rsid w:val="397E16D2"/>
    <w:rsid w:val="3A9C07F6"/>
    <w:rsid w:val="3ACF398B"/>
    <w:rsid w:val="3C5706E2"/>
    <w:rsid w:val="3D315A96"/>
    <w:rsid w:val="3D937FF7"/>
    <w:rsid w:val="3E131E5F"/>
    <w:rsid w:val="3F447B4B"/>
    <w:rsid w:val="3F7F3683"/>
    <w:rsid w:val="3FA16A1B"/>
    <w:rsid w:val="41894C7C"/>
    <w:rsid w:val="41B82E6B"/>
    <w:rsid w:val="42AE426E"/>
    <w:rsid w:val="43566DE0"/>
    <w:rsid w:val="4360210D"/>
    <w:rsid w:val="438E4CBA"/>
    <w:rsid w:val="439E5107"/>
    <w:rsid w:val="442567B2"/>
    <w:rsid w:val="44DE1C40"/>
    <w:rsid w:val="450B3BFA"/>
    <w:rsid w:val="4597548E"/>
    <w:rsid w:val="461D1E37"/>
    <w:rsid w:val="467F03FC"/>
    <w:rsid w:val="48FA5178"/>
    <w:rsid w:val="49267F0F"/>
    <w:rsid w:val="49DC5B65"/>
    <w:rsid w:val="4A06145B"/>
    <w:rsid w:val="4A893CE0"/>
    <w:rsid w:val="4DFE6A6C"/>
    <w:rsid w:val="4EDF4655"/>
    <w:rsid w:val="504419FF"/>
    <w:rsid w:val="505974EB"/>
    <w:rsid w:val="51B3364F"/>
    <w:rsid w:val="51F31C9E"/>
    <w:rsid w:val="53352591"/>
    <w:rsid w:val="53715570"/>
    <w:rsid w:val="53B40E45"/>
    <w:rsid w:val="547B5F02"/>
    <w:rsid w:val="55BD684B"/>
    <w:rsid w:val="567A0BDF"/>
    <w:rsid w:val="576B57E4"/>
    <w:rsid w:val="579065B0"/>
    <w:rsid w:val="58002731"/>
    <w:rsid w:val="59774064"/>
    <w:rsid w:val="59F076A8"/>
    <w:rsid w:val="5A084C52"/>
    <w:rsid w:val="5B536E10"/>
    <w:rsid w:val="5BDC19F5"/>
    <w:rsid w:val="5DA12EF6"/>
    <w:rsid w:val="5DE52DE2"/>
    <w:rsid w:val="5EB52AA9"/>
    <w:rsid w:val="5FFC2665"/>
    <w:rsid w:val="60537CDF"/>
    <w:rsid w:val="60CE17DE"/>
    <w:rsid w:val="628F77C1"/>
    <w:rsid w:val="62AA061A"/>
    <w:rsid w:val="639B1F33"/>
    <w:rsid w:val="64526CF8"/>
    <w:rsid w:val="64BF3D78"/>
    <w:rsid w:val="657D7DA4"/>
    <w:rsid w:val="659F5F6D"/>
    <w:rsid w:val="65AB5740"/>
    <w:rsid w:val="667E3DD4"/>
    <w:rsid w:val="672002AE"/>
    <w:rsid w:val="679A59F3"/>
    <w:rsid w:val="67D30150"/>
    <w:rsid w:val="68490412"/>
    <w:rsid w:val="689F6F49"/>
    <w:rsid w:val="6A352876"/>
    <w:rsid w:val="6A744817"/>
    <w:rsid w:val="6AC4258C"/>
    <w:rsid w:val="6B2D7B77"/>
    <w:rsid w:val="6EB70510"/>
    <w:rsid w:val="6F83245B"/>
    <w:rsid w:val="70666005"/>
    <w:rsid w:val="715B0AE5"/>
    <w:rsid w:val="717C23B9"/>
    <w:rsid w:val="73813156"/>
    <w:rsid w:val="75526B58"/>
    <w:rsid w:val="75882579"/>
    <w:rsid w:val="760C10BF"/>
    <w:rsid w:val="762B73A9"/>
    <w:rsid w:val="792425B9"/>
    <w:rsid w:val="7A736FAF"/>
    <w:rsid w:val="7A755B2A"/>
    <w:rsid w:val="7B3D7962"/>
    <w:rsid w:val="7BE91898"/>
    <w:rsid w:val="7C975BBF"/>
    <w:rsid w:val="7DD319D1"/>
    <w:rsid w:val="7E2940A0"/>
    <w:rsid w:val="7E795155"/>
    <w:rsid w:val="7EEA3A51"/>
    <w:rsid w:val="7F29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spacing w:before="280" w:after="290" w:line="376" w:lineRule="auto"/>
      <w:outlineLvl w:val="4"/>
    </w:pPr>
    <w:rPr>
      <w:b/>
      <w:bCs/>
      <w:sz w:val="28"/>
      <w:szCs w:val="28"/>
    </w:rPr>
  </w:style>
  <w:style w:type="paragraph" w:styleId="7">
    <w:name w:val="heading 6"/>
    <w:basedOn w:val="1"/>
    <w:next w:val="1"/>
    <w:link w:val="40"/>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spacing w:before="240" w:after="64" w:line="320" w:lineRule="auto"/>
      <w:outlineLvl w:val="6"/>
    </w:pPr>
    <w:rPr>
      <w:b/>
      <w:bCs/>
      <w:sz w:val="24"/>
      <w:szCs w:val="24"/>
    </w:rPr>
  </w:style>
  <w:style w:type="paragraph" w:styleId="9">
    <w:name w:val="heading 8"/>
    <w:basedOn w:val="1"/>
    <w:next w:val="1"/>
    <w:link w:val="42"/>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snapToGrid w:val="0"/>
      <w:jc w:val="right"/>
    </w:pPr>
    <w:rPr>
      <w:rFonts w:ascii="宋体"/>
      <w:sz w:val="18"/>
      <w:szCs w:val="18"/>
    </w:rPr>
  </w:style>
  <w:style w:type="paragraph" w:styleId="18">
    <w:name w:val="header"/>
    <w:basedOn w:val="1"/>
    <w:link w:val="44"/>
    <w:qFormat/>
    <w:uiPriority w:val="99"/>
    <w:pPr>
      <w:tabs>
        <w:tab w:val="center" w:pos="4153"/>
        <w:tab w:val="right" w:pos="8306"/>
      </w:tabs>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snapToGrid w:val="0"/>
      <w:spacing w:line="300" w:lineRule="exact"/>
      <w:ind w:left="400" w:leftChars="200" w:hanging="200" w:hangingChars="200"/>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100" w:beforeAutospacing="1" w:after="100" w:afterAutospacing="1"/>
    </w:pPr>
    <w:rPr>
      <w:rFonts w:ascii="宋体" w:hAnsi="宋体" w:cs="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shd w:val="clear" w:color="FFFFFF" w:fill="FFFFFF"/>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shd w:val="clear" w:color="FFFFFF" w:fill="FFFFFF"/>
      <w:spacing w:before="560" w:after="50" w:afterLines="50"/>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jc w:val="center"/>
    </w:pPr>
    <w:rPr>
      <w:rFonts w:ascii="黑体" w:eastAsia="黑体"/>
      <w:kern w:val="0"/>
      <w:sz w:val="52"/>
    </w:rPr>
  </w:style>
  <w:style w:type="paragraph" w:customStyle="1" w:styleId="72">
    <w:name w:val="标准文件_封面标准英文名称"/>
    <w:basedOn w:val="1"/>
    <w:qFormat/>
    <w:uiPriority w:val="0"/>
    <w:pPr>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850" w:after="70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1"/>
    <w:qFormat/>
    <w:uiPriority w:val="0"/>
    <w:pPr>
      <w:numPr>
        <w:ilvl w:val="2"/>
      </w:numPr>
      <w:spacing w:before="120" w:beforeLines="50" w:after="12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snapToGrid/>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ordWrap w:val="0"/>
      <w:overflowPunct w:val="0"/>
      <w:autoSpaceDE w:val="0"/>
      <w:autoSpaceDN w:val="0"/>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rPr>
      <w:bCs/>
      <w:iCs/>
    </w:rPr>
  </w:style>
  <w:style w:type="paragraph" w:customStyle="1" w:styleId="144">
    <w:name w:val="目录 31"/>
    <w:basedOn w:val="1"/>
    <w:next w:val="1"/>
    <w:semiHidden/>
    <w:qFormat/>
    <w:uiPriority w:val="0"/>
    <w:rPr>
      <w:rFonts w:ascii="宋体" w:hAnsi="宋体"/>
      <w:iCs/>
    </w:rPr>
  </w:style>
  <w:style w:type="paragraph" w:customStyle="1" w:styleId="145">
    <w:name w:val="目录 41"/>
    <w:basedOn w:val="1"/>
    <w:next w:val="1"/>
    <w:semiHidden/>
    <w:qFormat/>
    <w:uiPriority w:val="0"/>
  </w:style>
  <w:style w:type="paragraph" w:customStyle="1" w:styleId="146">
    <w:name w:val="目录 51"/>
    <w:basedOn w:val="1"/>
    <w:next w:val="1"/>
    <w:semiHidden/>
    <w:qFormat/>
    <w:uiPriority w:val="0"/>
    <w:rPr>
      <w:rFonts w:ascii="宋体" w:hAnsi="宋体"/>
    </w:rPr>
  </w:style>
  <w:style w:type="paragraph" w:customStyle="1" w:styleId="147">
    <w:name w:val="目录 61"/>
    <w:basedOn w:val="1"/>
    <w:next w:val="1"/>
    <w:semiHidden/>
    <w:qFormat/>
    <w:uiPriority w:val="0"/>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pPr>
    <w:rPr>
      <w:szCs w:val="24"/>
    </w:rPr>
  </w:style>
  <w:style w:type="paragraph" w:customStyle="1" w:styleId="160">
    <w:name w:val="一级无标题条"/>
    <w:basedOn w:val="1"/>
    <w:qFormat/>
    <w:uiPriority w:val="0"/>
    <w:pPr>
      <w:numPr>
        <w:ilvl w:val="2"/>
        <w:numId w:val="20"/>
      </w:numPr>
      <w:spacing w:before="10" w:after="10"/>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numPr>
        <w:ilvl w:val="0"/>
        <w:numId w:val="29"/>
      </w:numPr>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token"/>
    <w:basedOn w:val="29"/>
    <w:qFormat/>
    <w:uiPriority w:val="0"/>
  </w:style>
  <w:style w:type="paragraph" w:customStyle="1" w:styleId="232">
    <w:name w:val="一级条标题"/>
    <w:basedOn w:val="1"/>
    <w:next w:val="233"/>
    <w:qFormat/>
    <w:uiPriority w:val="99"/>
    <w:pPr>
      <w:numPr>
        <w:ilvl w:val="2"/>
        <w:numId w:val="32"/>
      </w:numPr>
      <w:outlineLvl w:val="2"/>
    </w:pPr>
    <w:rPr>
      <w:rFonts w:ascii="黑体" w:eastAsia="黑体"/>
      <w:kern w:val="0"/>
      <w:szCs w:val="20"/>
    </w:rPr>
  </w:style>
  <w:style w:type="paragraph" w:customStyle="1" w:styleId="23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34">
    <w:name w:val="List Paragraph"/>
    <w:basedOn w:val="1"/>
    <w:qFormat/>
    <w:uiPriority w:val="34"/>
    <w:pPr>
      <w:ind w:firstLine="420" w:firstLineChars="200"/>
    </w:pPr>
  </w:style>
  <w:style w:type="character" w:customStyle="1" w:styleId="235">
    <w:name w:val="Unresolved Mention"/>
    <w:basedOn w:val="29"/>
    <w:semiHidden/>
    <w:unhideWhenUsed/>
    <w:qFormat/>
    <w:uiPriority w:val="99"/>
    <w:rPr>
      <w:color w:val="605E5C"/>
      <w:shd w:val="clear" w:color="auto" w:fill="E1DFDD"/>
    </w:rPr>
  </w:style>
  <w:style w:type="character" w:customStyle="1" w:styleId="236">
    <w:name w:val="fontstyle01"/>
    <w:qFormat/>
    <w:uiPriority w:val="0"/>
    <w:rPr>
      <w:rFonts w:hint="eastAsia" w:ascii="黑体" w:hAnsi="黑体" w:eastAsia="黑体"/>
      <w:color w:val="000000"/>
      <w:sz w:val="46"/>
      <w:szCs w:val="4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95282C780534EED9CD8A66177945549"/>
        <w:style w:val=""/>
        <w:category>
          <w:name w:val="常规"/>
          <w:gallery w:val="placeholder"/>
        </w:category>
        <w:types>
          <w:type w:val="bbPlcHdr"/>
        </w:types>
        <w:behaviors>
          <w:behavior w:val="content"/>
        </w:behaviors>
        <w:description w:val=""/>
        <w:guid w:val="{02706F08-627A-42AA-A77E-D2B3F64DD216}"/>
      </w:docPartPr>
      <w:docPartBody>
        <w:p w14:paraId="35E923C7">
          <w:pPr>
            <w:pStyle w:val="5"/>
            <w:rPr>
              <w:rFonts w:hint="eastAsia"/>
            </w:rPr>
          </w:pPr>
          <w:r>
            <w:rPr>
              <w:rStyle w:val="4"/>
              <w:rFonts w:hint="eastAsia"/>
            </w:rPr>
            <w:t>单击或点击此处输入文字。</w:t>
          </w:r>
        </w:p>
      </w:docPartBody>
    </w:docPart>
    <w:docPart>
      <w:docPartPr>
        <w:name w:val="7D4C5B62BE3748A8A185024F36B5A74D"/>
        <w:style w:val=""/>
        <w:category>
          <w:name w:val="常规"/>
          <w:gallery w:val="placeholder"/>
        </w:category>
        <w:types>
          <w:type w:val="bbPlcHdr"/>
        </w:types>
        <w:behaviors>
          <w:behavior w:val="content"/>
        </w:behaviors>
        <w:description w:val=""/>
        <w:guid w:val="{450E8E7A-433E-486B-829D-B8742CB52972}"/>
      </w:docPartPr>
      <w:docPartBody>
        <w:p w14:paraId="14CF9B24">
          <w:pPr>
            <w:pStyle w:val="6"/>
            <w:rPr>
              <w:rFonts w:hint="eastAsia"/>
            </w:rPr>
          </w:pPr>
          <w:r>
            <w:rPr>
              <w:rStyle w:val="4"/>
              <w:rFonts w:hint="eastAsia"/>
            </w:rPr>
            <w:t>选择一项。</w:t>
          </w:r>
        </w:p>
      </w:docPartBody>
    </w:docPart>
    <w:docPart>
      <w:docPartPr>
        <w:name w:val="D52E28A190F340F0A425E9C3719705AE"/>
        <w:style w:val=""/>
        <w:category>
          <w:name w:val="常规"/>
          <w:gallery w:val="placeholder"/>
        </w:category>
        <w:types>
          <w:type w:val="bbPlcHdr"/>
        </w:types>
        <w:behaviors>
          <w:behavior w:val="content"/>
        </w:behaviors>
        <w:description w:val=""/>
        <w:guid w:val="{23889D5D-3C53-4131-AA22-0FA402D50C45}"/>
      </w:docPartPr>
      <w:docPartBody>
        <w:p w14:paraId="5A91C56F">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A1"/>
    <w:rsid w:val="00006438"/>
    <w:rsid w:val="000B4DCF"/>
    <w:rsid w:val="001119D6"/>
    <w:rsid w:val="00217971"/>
    <w:rsid w:val="00237D24"/>
    <w:rsid w:val="0068773F"/>
    <w:rsid w:val="0070183B"/>
    <w:rsid w:val="007B322D"/>
    <w:rsid w:val="00840C1D"/>
    <w:rsid w:val="00A109F4"/>
    <w:rsid w:val="00A65DA1"/>
    <w:rsid w:val="00EB48FF"/>
    <w:rsid w:val="00F15660"/>
    <w:rsid w:val="00FE6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95282C780534EED9CD8A6617794554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7D4C5B62BE3748A8A185024F36B5A74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D52E28A190F340F0A425E9C3719705A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598</Words>
  <Characters>786</Characters>
  <Lines>33</Lines>
  <Paragraphs>9</Paragraphs>
  <TotalTime>0</TotalTime>
  <ScaleCrop>false</ScaleCrop>
  <LinksUpToDate>false</LinksUpToDate>
  <CharactersWithSpaces>902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2024-04-28T01:13:00Z</dcterms:created>
  <dc:creator>admin</dc:creator>
  <dc:description>&lt;config cover="true" show_menu="true" version="1.0.0" doctype="SDKXY"&gt;_x000d_
&lt;/config&gt;</dc:description>
  <cp:lastModifiedBy>马宪臣</cp:lastModifiedBy>
  <cp:lastPrinted>2025-01-21T01:03:00Z</cp:lastPrinted>
  <dcterms:modified xsi:type="dcterms:W3CDTF">2026-05-11T06:48:49Z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88DA5BC3262941D495DBA919B2F85175_13</vt:lpwstr>
  </property>
  <property fmtid="{D5CDD505-2E9C-101B-9397-08002B2CF9AE}" pid="16" name="KSOTemplateDocerSaveRecord">
    <vt:lpwstr>eyJoZGlkIjoiYzIxOTVlZWMxZDFiODI1OTQ1OTY0MjZmZTgxYTJlYjAiLCJ1c2VySWQiOiI4ODYxMDg2ODkifQ==</vt:lpwstr>
  </property>
</Properties>
</file>