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FAC3D">
      <w:pPr>
        <w:spacing w:before="156" w:beforeLines="50" w:after="156" w:afterLines="50" w:line="240" w:lineRule="auto"/>
        <w:jc w:val="center"/>
        <w:rPr>
          <w:rFonts w:hint="eastAsia" w:ascii="宋体" w:hAnsi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《</w:t>
      </w:r>
      <w:r>
        <w:rPr>
          <w:rFonts w:hint="eastAsia" w:ascii="宋体" w:hAnsi="宋体" w:cs="宋体"/>
          <w:sz w:val="44"/>
          <w:szCs w:val="44"/>
          <w:lang w:eastAsia="zh-CN"/>
        </w:rPr>
        <w:t>半导体制造工艺腔室温度场均匀性测试与</w:t>
      </w:r>
    </w:p>
    <w:p w14:paraId="53D57E9B">
      <w:pPr>
        <w:spacing w:before="156" w:beforeLines="50" w:after="156" w:afterLines="50" w:line="24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lang w:eastAsia="zh-CN"/>
        </w:rPr>
        <w:t>评价方法</w:t>
      </w:r>
      <w:r>
        <w:rPr>
          <w:rFonts w:hint="eastAsia" w:ascii="宋体" w:hAnsi="宋体" w:eastAsia="宋体" w:cs="宋体"/>
          <w:sz w:val="44"/>
          <w:szCs w:val="44"/>
        </w:rPr>
        <w:t>》</w:t>
      </w:r>
    </w:p>
    <w:p w14:paraId="6194D0B5">
      <w:pPr>
        <w:spacing w:before="156" w:beforeLines="50" w:after="156" w:afterLines="50" w:line="240" w:lineRule="auto"/>
        <w:jc w:val="center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（征求意见稿）</w:t>
      </w:r>
    </w:p>
    <w:p w14:paraId="4D6DE6E4">
      <w:pPr>
        <w:spacing w:before="156" w:beforeLines="50" w:after="156" w:afterLines="50" w:line="240" w:lineRule="auto"/>
        <w:jc w:val="center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编制说明</w:t>
      </w:r>
    </w:p>
    <w:p w14:paraId="134EB349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工作简况</w:t>
      </w:r>
    </w:p>
    <w:p w14:paraId="4FD900D8">
      <w:pPr>
        <w:snapToGrid w:val="0"/>
        <w:spacing w:line="52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（一）任务来源</w:t>
      </w:r>
    </w:p>
    <w:p w14:paraId="3CAA0B36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本项目根据中国欧洲经济技术合作协会</w:t>
      </w:r>
      <w:r>
        <w:rPr>
          <w:rFonts w:hint="eastAsia" w:ascii="宋体" w:hAnsi="宋体" w:eastAsia="宋体" w:cs="宋体"/>
          <w:highlight w:val="none"/>
          <w:lang w:val="en-US"/>
        </w:rPr>
        <w:t>20</w:t>
      </w:r>
      <w:r>
        <w:rPr>
          <w:rFonts w:hint="eastAsia" w:ascii="宋体" w:hAnsi="宋体" w:eastAsia="宋体" w:cs="宋体"/>
          <w:highlight w:val="none"/>
          <w:lang w:val="en-US" w:eastAsia="zh-CN"/>
        </w:rPr>
        <w:t>2</w:t>
      </w:r>
      <w:r>
        <w:rPr>
          <w:rFonts w:hint="eastAsia" w:ascii="宋体" w:hAnsi="宋体" w:cs="宋体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highlight w:val="none"/>
          <w:lang w:val="en-US"/>
        </w:rPr>
        <w:t>年团</w:t>
      </w:r>
      <w:r>
        <w:rPr>
          <w:rFonts w:hint="eastAsia" w:ascii="宋体" w:hAnsi="宋体" w:eastAsia="宋体" w:cs="宋体"/>
          <w:lang w:val="en-US"/>
        </w:rPr>
        <w:t>体标准制定计划</w:t>
      </w:r>
      <w:r>
        <w:rPr>
          <w:rFonts w:hint="eastAsia" w:ascii="宋体" w:hAnsi="宋体" w:eastAsia="宋体" w:cs="宋体"/>
          <w:highlight w:val="none"/>
          <w:lang w:val="en-US"/>
        </w:rPr>
        <w:t>，</w:t>
      </w:r>
      <w:r>
        <w:rPr>
          <w:rFonts w:hint="eastAsia" w:ascii="宋体" w:hAnsi="宋体" w:eastAsia="宋体" w:cs="宋体"/>
          <w:lang w:val="en-US"/>
        </w:rPr>
        <w:t>项目名称为《</w:t>
      </w:r>
      <w:r>
        <w:rPr>
          <w:rFonts w:hint="eastAsia" w:ascii="宋体" w:hAnsi="宋体" w:cs="宋体"/>
          <w:lang w:val="en-US" w:eastAsia="zh-CN"/>
        </w:rPr>
        <w:t>半导体制造工艺腔室温度场均匀性测试与评价方法</w:t>
      </w:r>
      <w:r>
        <w:rPr>
          <w:rFonts w:hint="eastAsia" w:ascii="宋体" w:hAnsi="宋体" w:eastAsia="宋体" w:cs="宋体"/>
          <w:lang w:val="en-US"/>
        </w:rPr>
        <w:t>》</w:t>
      </w:r>
      <w:r>
        <w:rPr>
          <w:rFonts w:hint="eastAsia" w:ascii="宋体" w:hAnsi="宋体" w:cs="宋体"/>
          <w:lang w:val="en-US" w:eastAsia="zh-CN"/>
        </w:rPr>
        <w:t>项目计划号T/CEATEC-2026-090</w:t>
      </w:r>
      <w:r>
        <w:rPr>
          <w:rFonts w:hint="eastAsia" w:ascii="宋体" w:hAnsi="宋体" w:eastAsia="宋体" w:cs="宋体"/>
          <w:lang w:val="en-US"/>
        </w:rPr>
        <w:t>的任务而进行制订。</w:t>
      </w:r>
    </w:p>
    <w:p w14:paraId="50A1A6A1">
      <w:pPr>
        <w:snapToGrid w:val="0"/>
        <w:spacing w:line="52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（二）起草单位及主要起草人</w:t>
      </w:r>
    </w:p>
    <w:p w14:paraId="166DD15D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本文件起草单位：无锡冠亚恒温制冷技术有限公司</w:t>
      </w:r>
      <w:r>
        <w:rPr>
          <w:rFonts w:hint="eastAsia" w:ascii="宋体" w:hAnsi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lang w:val="en-US"/>
        </w:rPr>
        <w:t>北京京仪自动化装备技术股份有限公司</w:t>
      </w:r>
      <w:r>
        <w:rPr>
          <w:rFonts w:hint="eastAsia" w:ascii="宋体" w:hAnsi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lang w:val="en-US"/>
        </w:rPr>
        <w:t>杭州先导热电科技有限公司。</w:t>
      </w:r>
    </w:p>
    <w:p w14:paraId="718A9020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本文件</w:t>
      </w:r>
      <w:r>
        <w:rPr>
          <w:rFonts w:hint="eastAsia" w:ascii="宋体" w:hAnsi="宋体" w:eastAsia="宋体" w:cs="宋体"/>
          <w:lang w:val="en-US" w:eastAsia="zh-CN"/>
        </w:rPr>
        <w:t>主要</w:t>
      </w:r>
      <w:r>
        <w:rPr>
          <w:rFonts w:hint="eastAsia" w:ascii="宋体" w:hAnsi="宋体" w:eastAsia="宋体" w:cs="宋体"/>
          <w:lang w:val="en-US"/>
        </w:rPr>
        <w:t>起草人：颜厥枝、仝高强、芮守祯、曹小康、何茂栋、刘岩松。</w:t>
      </w:r>
    </w:p>
    <w:p w14:paraId="58F93C67">
      <w:pPr>
        <w:pStyle w:val="3"/>
        <w:numPr>
          <w:ilvl w:val="0"/>
          <w:numId w:val="0"/>
        </w:numPr>
        <w:spacing w:line="360" w:lineRule="auto"/>
        <w:ind w:firstLine="562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标准制定目的和意义</w:t>
      </w:r>
    </w:p>
    <w:p w14:paraId="646388F3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从产业角度分析，制定《</w:t>
      </w:r>
      <w:r>
        <w:rPr>
          <w:rFonts w:hint="eastAsia" w:ascii="宋体" w:hAnsi="宋体" w:cs="宋体"/>
          <w:lang w:val="en-US" w:eastAsia="zh-CN"/>
        </w:rPr>
        <w:t>半导体制造工艺腔室温度场均匀性测试与评价方法</w:t>
      </w:r>
      <w:r>
        <w:rPr>
          <w:rFonts w:hint="eastAsia" w:ascii="宋体" w:hAnsi="宋体" w:eastAsia="宋体" w:cs="宋体"/>
          <w:lang w:val="en-US"/>
        </w:rPr>
        <w:t>》团体标准的目的和意义主要体现在以下几个方面：</w:t>
      </w:r>
    </w:p>
    <w:p w14:paraId="53F75B36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宋体" w:hAnsi="宋体" w:eastAsia="宋体" w:cs="宋体"/>
          <w:lang w:val="en-US"/>
        </w:rPr>
        <w:t>目的</w:t>
      </w:r>
    </w:p>
    <w:p w14:paraId="01330364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半导体制造工艺腔室是集成电路制造、晶圆加工、薄膜沉积、刻蚀、氧化扩散等核心工艺的关键载体，温度场均匀性直接决定晶圆加工精度、膜层均匀性、器件性能一致性与成品率，是半导体制造装备核心性能指标。</w:t>
      </w:r>
    </w:p>
    <w:p w14:paraId="2F157EFF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当前我国半导体装备与工艺检测领域，缺乏统一、规范、可落地的温度场均匀性测试与评价方法，不同设备厂商、检测机构、芯片制造企业采用的测试点位、仪器、流程、评价指标差异较大，导致数据不可比、结果不互通、验收无统一依据，制约半导体制造装备质量提升与工艺稳定性控制。</w:t>
      </w:r>
    </w:p>
    <w:p w14:paraId="315F899C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/>
        </w:rPr>
        <w:t>制定本标准的核心目的</w:t>
      </w:r>
      <w:r>
        <w:rPr>
          <w:rFonts w:hint="eastAsia" w:ascii="宋体" w:hAnsi="宋体" w:eastAsia="宋体" w:cs="宋体"/>
          <w:lang w:val="en-US" w:eastAsia="zh-CN"/>
        </w:rPr>
        <w:t>在于</w:t>
      </w:r>
      <w:r>
        <w:rPr>
          <w:rFonts w:hint="eastAsia" w:ascii="宋体" w:hAnsi="宋体" w:eastAsia="宋体" w:cs="宋体"/>
          <w:lang w:val="en-US"/>
        </w:rPr>
        <w:t>统一半导体制造工艺腔室温度场均匀性的测试条件、测点布局、测试流程、数据处理与评价准则；为腔室设计、生产、验收、运维提供标准化技术依据，保障工艺稳定性与晶圆加工一致性；规范检测行为，降低测试成本，提升半导体装备与工艺环节的质量管控水平。</w:t>
      </w:r>
    </w:p>
    <w:p w14:paraId="154E3FC0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eastAsia" w:ascii="宋体" w:hAnsi="宋体" w:eastAsia="宋体" w:cs="宋体"/>
          <w:lang w:val="en-US"/>
        </w:rPr>
        <w:t>意义</w:t>
      </w:r>
    </w:p>
    <w:p w14:paraId="7154C64F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半导体产业是国家战略性新兴产业，温度场均匀性是先进制程与特色工艺工艺腔室的关键共性技术指标。本标准制定：填补国内半导体制造工艺腔室温度场均匀性测试评价标准空白，完善半导体装备标准体系；助力装备企业提升设计与制造能力，推动国产半导体装备高端化、标准化、国产化替代；支撑芯片制造企业稳定工艺、提升良率、降低生产成本，增强产业链供应链自主可控能力；符合国家关于半导体产业高质量发展、关键装备自主创新与智能制造标准化的政策导向，对我国半导体产业升级具有重要支撑作用。为积极响应我国政策，推进</w:t>
      </w:r>
      <w:r>
        <w:rPr>
          <w:rFonts w:hint="eastAsia" w:ascii="宋体" w:hAnsi="宋体" w:eastAsia="宋体" w:cs="宋体"/>
          <w:lang w:val="en-US" w:eastAsia="zh-CN"/>
        </w:rPr>
        <w:t>半导体</w:t>
      </w:r>
      <w:r>
        <w:rPr>
          <w:rFonts w:hint="eastAsia" w:ascii="宋体" w:hAnsi="宋体" w:eastAsia="宋体" w:cs="宋体"/>
          <w:lang w:val="en-US"/>
        </w:rPr>
        <w:t>行业标准化体系建设，促进</w:t>
      </w:r>
      <w:r>
        <w:rPr>
          <w:rFonts w:hint="eastAsia" w:ascii="宋体" w:hAnsi="宋体" w:eastAsia="宋体" w:cs="宋体"/>
          <w:lang w:val="en-US" w:eastAsia="zh-CN"/>
        </w:rPr>
        <w:t>半导体</w:t>
      </w:r>
      <w:r>
        <w:rPr>
          <w:rFonts w:hint="eastAsia" w:ascii="宋体" w:hAnsi="宋体" w:eastAsia="宋体" w:cs="宋体"/>
          <w:lang w:val="en-US"/>
        </w:rPr>
        <w:t>行业实现高质量发展，亟需组织相关机构开展《</w:t>
      </w:r>
      <w:r>
        <w:rPr>
          <w:rFonts w:hint="eastAsia" w:ascii="宋体" w:hAnsi="宋体" w:eastAsia="宋体" w:cs="宋体"/>
          <w:lang w:val="en-US" w:eastAsia="zh-CN"/>
        </w:rPr>
        <w:t>半导体制造工艺腔室温度场均匀性测试与评价方法</w:t>
      </w:r>
      <w:r>
        <w:rPr>
          <w:rFonts w:hint="eastAsia" w:ascii="宋体" w:hAnsi="宋体" w:eastAsia="宋体" w:cs="宋体"/>
          <w:lang w:val="en-US"/>
        </w:rPr>
        <w:t>》的标准制定，为行业标准化能力提升提供标准依据和技术支撑。</w:t>
      </w:r>
    </w:p>
    <w:p w14:paraId="1A56508C">
      <w:pPr>
        <w:snapToGrid w:val="0"/>
        <w:spacing w:line="52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（四）主要工作过程</w:t>
      </w:r>
    </w:p>
    <w:p w14:paraId="43685BE8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1.前期准备工作</w:t>
      </w:r>
    </w:p>
    <w:p w14:paraId="39DEC089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项目立项前，标准编制小组查阅、研读相关国内外文献，广泛搜集</w:t>
      </w:r>
      <w:r>
        <w:rPr>
          <w:rFonts w:hint="eastAsia" w:ascii="宋体" w:hAnsi="宋体" w:cs="宋体"/>
          <w:lang w:val="en-US" w:eastAsia="zh-CN"/>
        </w:rPr>
        <w:t>相关</w:t>
      </w:r>
      <w:r>
        <w:rPr>
          <w:rFonts w:hint="eastAsia" w:ascii="宋体" w:hAnsi="宋体" w:eastAsia="宋体" w:cs="宋体"/>
          <w:lang w:val="en-US"/>
        </w:rPr>
        <w:t>材料。同时，标准编制小组安排相关人员，多次与相关行业人员进行调研、交流，广泛征求标准制定方面的意见和建议。</w:t>
      </w:r>
    </w:p>
    <w:p w14:paraId="1011C0BA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/>
        </w:rPr>
        <w:t>月</w:t>
      </w:r>
      <w:r>
        <w:rPr>
          <w:rFonts w:hint="eastAsia" w:ascii="宋体" w:hAnsi="宋体" w:cs="宋体"/>
          <w:lang w:val="en-US" w:eastAsia="zh-CN"/>
        </w:rPr>
        <w:t>22</w:t>
      </w:r>
      <w:r>
        <w:rPr>
          <w:rFonts w:hint="eastAsia" w:ascii="宋体" w:hAnsi="宋体" w:eastAsia="宋体" w:cs="宋体"/>
          <w:lang w:val="en-US" w:eastAsia="zh-CN"/>
        </w:rPr>
        <w:t>日本团体标准由中国欧洲经济技术合作协会正式立项，立项名称为：</w:t>
      </w:r>
      <w:r>
        <w:rPr>
          <w:rFonts w:hint="eastAsia" w:ascii="宋体" w:hAnsi="宋体" w:eastAsia="宋体" w:cs="宋体"/>
          <w:lang w:val="en-US"/>
        </w:rPr>
        <w:t>《</w:t>
      </w:r>
      <w:r>
        <w:rPr>
          <w:rFonts w:hint="eastAsia" w:ascii="宋体" w:hAnsi="宋体" w:cs="宋体"/>
          <w:lang w:val="en-US" w:eastAsia="zh-CN"/>
        </w:rPr>
        <w:t>半导体制造工艺腔室温度场均匀性测试与评价方法</w:t>
      </w:r>
      <w:r>
        <w:rPr>
          <w:rFonts w:hint="eastAsia" w:ascii="宋体" w:hAnsi="宋体" w:eastAsia="宋体" w:cs="宋体"/>
          <w:lang w:val="en-US"/>
        </w:rPr>
        <w:t>》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50B22881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2.标准起草过程</w:t>
      </w:r>
    </w:p>
    <w:p w14:paraId="2442C1C6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/>
        </w:rPr>
        <w:t>月</w:t>
      </w:r>
      <w:r>
        <w:rPr>
          <w:rFonts w:hint="eastAsia" w:ascii="宋体" w:hAnsi="宋体" w:eastAsia="宋体" w:cs="宋体"/>
          <w:lang w:val="en-US" w:eastAsia="zh-CN"/>
        </w:rPr>
        <w:t>，团体标准立项通知公示后，标准编制小组首先组织了标准制定工作会议，各编写人员根据工作计划分工和编写要求开展了相关工作。在标准起草期间，编制小组主编单位及参编单位组织了数次内部研讨会和专家咨询会，经过多次修改，于</w:t>
      </w:r>
      <w:r>
        <w:rPr>
          <w:rFonts w:hint="eastAsia" w:ascii="宋体" w:hAnsi="宋体" w:eastAsia="宋体" w:cs="宋体"/>
          <w:lang w:val="en-US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en-US"/>
        </w:rPr>
        <w:t>月</w:t>
      </w:r>
      <w:r>
        <w:rPr>
          <w:rFonts w:hint="eastAsia" w:ascii="宋体" w:hAnsi="宋体" w:eastAsia="宋体" w:cs="宋体"/>
          <w:lang w:val="en-US" w:eastAsia="zh-CN"/>
        </w:rPr>
        <w:t>初完成了标准初稿及编制说明的撰写工作。</w:t>
      </w:r>
    </w:p>
    <w:p w14:paraId="1EA2EC11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标准编制原则和依据</w:t>
      </w:r>
    </w:p>
    <w:p w14:paraId="027E0F0D">
      <w:pPr>
        <w:snapToGrid w:val="0"/>
        <w:spacing w:line="52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（一）编制原则</w:t>
      </w:r>
    </w:p>
    <w:p w14:paraId="2F121084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标准起草小组在编制标准过程中，以国家、行业现有的标准为制订基础，结合我国目前的行业现状，按照GB/T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4B758C31">
      <w:pPr>
        <w:snapToGrid w:val="0"/>
        <w:spacing w:line="52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（二）标准主要内容与确定依据</w:t>
      </w:r>
    </w:p>
    <w:p w14:paraId="1E2069BD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1.标准主要内容</w:t>
      </w:r>
    </w:p>
    <w:p w14:paraId="066FC14A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1.1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范围</w:t>
      </w:r>
    </w:p>
    <w:p w14:paraId="7CB9DE6A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本文件规定了半导体制造工艺腔室（以下简称“工艺腔室”）温度场均匀性的测试条件、测试程序、</w:t>
      </w:r>
      <w:r>
        <w:rPr>
          <w:rFonts w:hint="eastAsia" w:ascii="宋体" w:hAnsi="宋体" w:eastAsia="宋体" w:cs="宋体"/>
          <w:lang w:val="en-US" w:eastAsia="zh-CN"/>
        </w:rPr>
        <w:t>均匀性</w:t>
      </w:r>
      <w:r>
        <w:rPr>
          <w:rFonts w:hint="eastAsia" w:ascii="宋体" w:hAnsi="宋体" w:eastAsia="宋体" w:cs="宋体"/>
          <w:lang w:val="en-US"/>
        </w:rPr>
        <w:t>评价方法与测试报告</w:t>
      </w:r>
      <w:r>
        <w:rPr>
          <w:rFonts w:hint="eastAsia" w:ascii="宋体" w:hAnsi="宋体" w:eastAsia="宋体" w:cs="宋体"/>
          <w:lang w:val="en-US" w:eastAsia="zh-CN"/>
        </w:rPr>
        <w:t>等内容</w:t>
      </w:r>
      <w:r>
        <w:rPr>
          <w:rFonts w:hint="eastAsia" w:ascii="宋体" w:hAnsi="宋体" w:eastAsia="宋体" w:cs="宋体"/>
          <w:lang w:val="en-US"/>
        </w:rPr>
        <w:t>。</w:t>
      </w:r>
    </w:p>
    <w:p w14:paraId="01079037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本文件适用于</w:t>
      </w:r>
      <w:r>
        <w:rPr>
          <w:rFonts w:hint="eastAsia" w:ascii="宋体" w:hAnsi="宋体" w:eastAsia="宋体" w:cs="宋体"/>
          <w:lang w:val="en-US" w:eastAsia="zh-CN"/>
        </w:rPr>
        <w:t>半导体制造过程中各类工艺腔室的温度场均匀性测试与评价</w:t>
      </w:r>
      <w:r>
        <w:rPr>
          <w:rFonts w:hint="eastAsia" w:ascii="宋体" w:hAnsi="宋体" w:eastAsia="宋体" w:cs="宋体"/>
          <w:lang w:val="en-US"/>
        </w:rPr>
        <w:t>。</w:t>
      </w:r>
    </w:p>
    <w:p w14:paraId="5673A44B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1.2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规范性引用文件</w:t>
      </w:r>
    </w:p>
    <w:p w14:paraId="2606450E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GB/T 16839.1  热电偶  第1部分：电动势规范和允差</w:t>
      </w:r>
    </w:p>
    <w:p w14:paraId="5A7003A0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GB/T 25915.1—2021  洁净室及相关受控环境  第1部分：按粒子浓度划分空气洁净度等级</w:t>
      </w:r>
    </w:p>
    <w:p w14:paraId="149E34FE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GB/T 34072  物联网温度变送器规范</w:t>
      </w:r>
    </w:p>
    <w:p w14:paraId="62C793FB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GB/T 37086  工业过程温度校准器</w:t>
      </w:r>
    </w:p>
    <w:p w14:paraId="03B000AC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1.3 术语和定义</w:t>
      </w:r>
    </w:p>
    <w:p w14:paraId="4E1D5369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温度场均匀性  uniformity of temperature field</w:t>
      </w:r>
    </w:p>
    <w:p w14:paraId="342074BD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在稳态条件下，工艺腔室内特定平面或空间内各点温度与设定温度的偏差程度，通常用最大温差、标准偏差等统计量表示。</w:t>
      </w:r>
    </w:p>
    <w:p w14:paraId="36C28D11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工艺腔室  process chamber</w:t>
      </w:r>
    </w:p>
    <w:p w14:paraId="5A1FA22E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半导体设备中进行核心工艺处理的密闭空间，其设计直接关系到工艺质量和设备性能。</w:t>
      </w:r>
    </w:p>
    <w:p w14:paraId="0353928D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热电偶  thermocouple</w:t>
      </w:r>
    </w:p>
    <w:p w14:paraId="09845AA8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由一对不同材料的导体构成，其一端相互连接，利用热电效应实现温度测量的一种温度检测器。</w:t>
      </w:r>
    </w:p>
    <w:p w14:paraId="344C3D8F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标准偏差  standard deviation</w:t>
      </w:r>
    </w:p>
    <w:p w14:paraId="0FF2B4E3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反映一组温度数据离散程度的统计量，用于评估温度场的均匀性。</w:t>
      </w:r>
    </w:p>
    <w:p w14:paraId="1F7DFF03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稳态测试  steady state test</w:t>
      </w:r>
    </w:p>
    <w:p w14:paraId="7B01A67F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是指在测试过程中，被测试对象处于稳定状态，不发生任何变化。</w:t>
      </w:r>
    </w:p>
    <w:p w14:paraId="534A45AB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动态测试  dynamic test</w:t>
      </w:r>
    </w:p>
    <w:p w14:paraId="1CEF461B">
      <w:pPr>
        <w:pStyle w:val="3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指在被测试对象处于运行/工作状态下，通过施加规定的输入信号、模拟实际使用工况，观测其输出响应、运行性能、功能实现及行为特征，以验证其是否符合规定要求的测试方法。</w:t>
      </w:r>
    </w:p>
    <w:p w14:paraId="28396E05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1.4 </w:t>
      </w:r>
      <w:r>
        <w:rPr>
          <w:rFonts w:hint="eastAsia"/>
          <w:highlight w:val="none"/>
          <w:lang w:val="en-US" w:eastAsia="zh-CN"/>
        </w:rPr>
        <w:t>测试条件</w:t>
      </w:r>
    </w:p>
    <w:p w14:paraId="6FCAEAE6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对</w:t>
      </w:r>
      <w:r>
        <w:rPr>
          <w:rFonts w:hint="eastAsia" w:ascii="宋体" w:hAnsi="宋体" w:eastAsia="宋体" w:cs="宋体"/>
          <w:lang w:val="en-US" w:eastAsia="zh-CN"/>
        </w:rPr>
        <w:t>测试环境条件</w:t>
      </w:r>
      <w:r>
        <w:rPr>
          <w:rFonts w:hint="eastAsia" w:ascii="宋体" w:hAnsi="宋体" w:cs="宋体"/>
          <w:lang w:val="en-US" w:eastAsia="zh-CN"/>
        </w:rPr>
        <w:t>、温度测量系统、</w:t>
      </w:r>
      <w:bookmarkStart w:id="0" w:name="_Toc29015"/>
      <w:r>
        <w:rPr>
          <w:rFonts w:hint="eastAsia"/>
          <w:lang w:val="en-US" w:eastAsia="zh-CN"/>
        </w:rPr>
        <w:t>工艺腔室状态</w:t>
      </w:r>
      <w:bookmarkEnd w:id="0"/>
      <w:r>
        <w:rPr>
          <w:rFonts w:hint="eastAsia"/>
          <w:lang w:val="en-US" w:eastAsia="zh-CN"/>
        </w:rPr>
        <w:t>、</w:t>
      </w:r>
      <w:bookmarkStart w:id="1" w:name="_Toc23298"/>
      <w:r>
        <w:rPr>
          <w:rFonts w:hint="eastAsia"/>
          <w:lang w:val="en-US" w:eastAsia="zh-CN"/>
        </w:rPr>
        <w:t>辅助设备</w:t>
      </w:r>
      <w:bookmarkEnd w:id="1"/>
      <w:r>
        <w:rPr>
          <w:rFonts w:hint="eastAsia"/>
          <w:lang w:val="en-US" w:eastAsia="zh-CN"/>
        </w:rPr>
        <w:t>等内容进行规定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206EF25D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1.5 </w:t>
      </w:r>
      <w:bookmarkStart w:id="2" w:name="_Toc27722"/>
      <w:r>
        <w:rPr>
          <w:rFonts w:hint="eastAsia"/>
          <w:lang w:val="en-US" w:eastAsia="zh-CN"/>
        </w:rPr>
        <w:t>测试程序</w:t>
      </w:r>
      <w:bookmarkEnd w:id="2"/>
    </w:p>
    <w:p w14:paraId="5D583C23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</w:t>
      </w:r>
      <w:r>
        <w:rPr>
          <w:rFonts w:hint="eastAsia"/>
          <w:lang w:val="en-US" w:eastAsia="zh-CN"/>
        </w:rPr>
        <w:t>测试程序</w:t>
      </w:r>
      <w:r>
        <w:rPr>
          <w:rFonts w:hint="eastAsia" w:ascii="宋体" w:hAnsi="宋体" w:eastAsia="宋体" w:cs="宋体"/>
          <w:lang w:val="en-US" w:eastAsia="zh-CN"/>
        </w:rPr>
        <w:t>进行规定。</w:t>
      </w:r>
    </w:p>
    <w:p w14:paraId="79A58815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1.6 均匀性评价方法</w:t>
      </w:r>
    </w:p>
    <w:p w14:paraId="4CC3A668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对均匀性评价方法进行规定。</w:t>
      </w:r>
    </w:p>
    <w:p w14:paraId="49D53BA4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1.7 </w:t>
      </w:r>
      <w:bookmarkStart w:id="3" w:name="_Toc18393"/>
      <w:r>
        <w:rPr>
          <w:rFonts w:hint="eastAsia"/>
          <w:lang w:val="en-US" w:eastAsia="zh-CN"/>
        </w:rPr>
        <w:t>测试报告</w:t>
      </w:r>
      <w:bookmarkEnd w:id="3"/>
    </w:p>
    <w:p w14:paraId="60BAB1BB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对</w:t>
      </w:r>
      <w:r>
        <w:rPr>
          <w:rFonts w:hint="eastAsia"/>
          <w:lang w:val="en-US" w:eastAsia="zh-CN"/>
        </w:rPr>
        <w:t>测试报告</w:t>
      </w:r>
      <w:r>
        <w:rPr>
          <w:rFonts w:hint="eastAsia" w:ascii="宋体" w:hAnsi="宋体" w:eastAsia="宋体" w:cs="宋体"/>
          <w:lang w:val="en-US" w:eastAsia="zh-CN"/>
        </w:rPr>
        <w:t>进行规定</w:t>
      </w:r>
      <w:r>
        <w:rPr>
          <w:rFonts w:hint="eastAsia" w:ascii="宋体" w:hAnsi="宋体" w:cs="宋体"/>
          <w:lang w:val="en-US" w:eastAsia="zh-CN"/>
        </w:rPr>
        <w:t>。</w:t>
      </w:r>
    </w:p>
    <w:p w14:paraId="60EA2A54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2.确定标准主要内容的依据</w:t>
      </w:r>
    </w:p>
    <w:p w14:paraId="22D3B63C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本标准</w:t>
      </w:r>
      <w:r>
        <w:rPr>
          <w:rFonts w:ascii="宋体" w:hAnsi="宋体" w:eastAsia="宋体" w:cs="宋体"/>
          <w:sz w:val="24"/>
          <w:szCs w:val="24"/>
        </w:rPr>
        <w:t>依据国家半导体产业、智能制造相关政策与标准化发展规划</w:t>
      </w:r>
      <w:r>
        <w:rPr>
          <w:rFonts w:hint="eastAsia" w:ascii="宋体" w:hAnsi="宋体" w:eastAsia="宋体" w:cs="宋体"/>
          <w:lang w:val="en-US"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依据GB/T 1.1—2020及相关温度测量、半导体试验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标准；结合国内主流半导体装备企业、晶圆制造厂实际测试方法与工艺需求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基于典型工艺腔室实测数据验证，确保指标合理、方法可行。</w:t>
      </w:r>
    </w:p>
    <w:p w14:paraId="0523CAD7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主要试验[或验证]情况分析、技术经济论证、预期经济效果</w:t>
      </w:r>
    </w:p>
    <w:p w14:paraId="07885806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</w:t>
      </w:r>
      <w:r>
        <w:rPr>
          <w:rFonts w:hint="eastAsia" w:ascii="宋体" w:hAnsi="宋体" w:cs="宋体"/>
          <w:lang w:val="en-US" w:eastAsia="zh-CN"/>
        </w:rPr>
        <w:t>标准</w:t>
      </w:r>
      <w:r>
        <w:rPr>
          <w:rFonts w:hint="eastAsia" w:ascii="宋体" w:hAnsi="宋体" w:eastAsia="宋体" w:cs="宋体"/>
          <w:lang w:val="en-US" w:eastAsia="zh-CN"/>
        </w:rPr>
        <w:t>编制组选取国内半导体装备企业不同类型工艺腔室（沉积、刻蚀、退火等），按本标准方法开展多轮温度场测试验证：</w:t>
      </w:r>
      <w:r>
        <w:rPr>
          <w:rFonts w:hint="eastAsia" w:ascii="宋体" w:hAnsi="宋体" w:eastAsia="宋体" w:cs="宋体"/>
          <w:lang w:val="en-US"/>
        </w:rPr>
        <w:t>测试设备精度满足要求，数据采集稳定、重复性好；测点布局科学，可有效反映腔室温度场分布；数据处理与评价方法清晰直观，结果与实际工艺一致性匹配；验证表明本标准测试方法可操作、可重复、可比对，满足行业使用需求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49FFEC78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标准基于成熟测温技术与通用设备制定，企业无需新增专用高端设备即可实施；统一标准可减少厂商与用户之间的测试争议，降低沟通成本、验收成本与重复测试成本；标准化评价体系有助于提升装备设计质量，减少不良品与返工，提升生产效率。</w:t>
      </w:r>
    </w:p>
    <w:p w14:paraId="7532DF43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本标准经济预期效果：</w:t>
      </w:r>
      <w:r>
        <w:rPr>
          <w:rFonts w:ascii="宋体" w:hAnsi="宋体" w:eastAsia="宋体" w:cs="宋体"/>
          <w:sz w:val="24"/>
          <w:szCs w:val="24"/>
        </w:rPr>
        <w:t>提升半导体工艺腔室质量稳定性，直接提高晶圆良率，降低制造成本；规范装备市场，促进国产半导体装备技术</w:t>
      </w:r>
      <w:r>
        <w:rPr>
          <w:rFonts w:hint="eastAsia" w:ascii="宋体" w:hAnsi="宋体" w:cs="宋体"/>
          <w:sz w:val="24"/>
          <w:szCs w:val="24"/>
          <w:lang w:eastAsia="zh-CN"/>
        </w:rPr>
        <w:t>升级</w:t>
      </w:r>
      <w:r>
        <w:rPr>
          <w:rFonts w:ascii="宋体" w:hAnsi="宋体" w:eastAsia="宋体" w:cs="宋体"/>
          <w:sz w:val="24"/>
          <w:szCs w:val="24"/>
        </w:rPr>
        <w:t>；推动产业链协同，实现装备、工艺、检测数据互通，提升产业整体效率；形成标准引领效应，支撑我国半导体产业高质量发展，带来显著经济效益与社会效益。</w:t>
      </w:r>
    </w:p>
    <w:p w14:paraId="46C705F4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与有关的现行法律、法规和强制性国家标准的关系</w:t>
      </w:r>
    </w:p>
    <w:p w14:paraId="5D5F9222">
      <w:pPr>
        <w:pStyle w:val="8"/>
        <w:widowControl/>
        <w:spacing w:beforeAutospacing="0" w:afterAutospacing="0" w:line="520" w:lineRule="exact"/>
        <w:ind w:firstLine="480" w:firstLineChars="20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lang w:val="en-US"/>
        </w:rPr>
        <w:t>本标准的制定过程、技术要求的选定、试验方法的确定、检验项目设置等符合现行</w:t>
      </w:r>
      <w:bookmarkStart w:id="4" w:name="_GoBack"/>
      <w:r>
        <w:rPr>
          <w:rFonts w:hint="eastAsia" w:ascii="宋体" w:hAnsi="宋体" w:eastAsia="宋体" w:cs="宋体"/>
          <w:lang w:val="en-US"/>
        </w:rPr>
        <w:t>法律、法规</w:t>
      </w:r>
      <w:bookmarkEnd w:id="4"/>
      <w:r>
        <w:rPr>
          <w:rFonts w:hint="eastAsia" w:ascii="宋体" w:hAnsi="宋体" w:eastAsia="宋体" w:cs="宋体"/>
          <w:lang w:val="en-US"/>
        </w:rPr>
        <w:t>和强制性国家标准的规定。</w:t>
      </w:r>
    </w:p>
    <w:p w14:paraId="680010EF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重大分歧意见的处理经过和依据</w:t>
      </w:r>
    </w:p>
    <w:p w14:paraId="3077AA40">
      <w:pPr>
        <w:pStyle w:val="3"/>
        <w:spacing w:line="360" w:lineRule="auto"/>
        <w:ind w:firstLine="480" w:firstLineChars="20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无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</w:rPr>
        <w:t>。</w:t>
      </w:r>
    </w:p>
    <w:p w14:paraId="0060610B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废止现行有关标准的建议</w:t>
      </w:r>
    </w:p>
    <w:p w14:paraId="64405480">
      <w:pPr>
        <w:pStyle w:val="3"/>
        <w:spacing w:line="360" w:lineRule="auto"/>
        <w:ind w:firstLine="480" w:firstLineChars="20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</w:rPr>
        <w:t>本标准不涉及对现行标准的废止。</w:t>
      </w:r>
    </w:p>
    <w:p w14:paraId="27E7AEC3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知识产权情况说明</w:t>
      </w:r>
    </w:p>
    <w:p w14:paraId="2A4021B2">
      <w:pPr>
        <w:adjustRightInd/>
        <w:spacing w:line="5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本文件不涉及必要专利等知识产权情况。</w:t>
      </w:r>
    </w:p>
    <w:p w14:paraId="3796DFA6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标准作为强制性或推荐性标准的建议</w:t>
      </w:r>
    </w:p>
    <w:p w14:paraId="5D40E7FD">
      <w:pPr>
        <w:adjustRightInd/>
        <w:spacing w:line="5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建议该标准作为推荐性团体标准。</w:t>
      </w:r>
    </w:p>
    <w:p w14:paraId="49183D48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贯彻标准的要求和措施建议，包括（组织措施、技术措施、过渡办法）</w:t>
      </w:r>
    </w:p>
    <w:p w14:paraId="5142A3D6">
      <w:pPr>
        <w:adjustRightInd/>
        <w:spacing w:line="5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本标准首次制定，没有特殊要求。</w:t>
      </w:r>
    </w:p>
    <w:p w14:paraId="448306B4">
      <w:pPr>
        <w:numPr>
          <w:ilvl w:val="0"/>
          <w:numId w:val="2"/>
        </w:numPr>
        <w:snapToGrid w:val="0"/>
        <w:spacing w:line="520" w:lineRule="exact"/>
        <w:ind w:firstLine="560" w:firstLineChars="200"/>
        <w:rPr>
          <w:rFonts w:ascii="黑体" w:hAnsi="黑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其他应予说明的事项</w:t>
      </w:r>
    </w:p>
    <w:p w14:paraId="0A76F638">
      <w:pPr>
        <w:adjustRightInd/>
        <w:spacing w:line="520" w:lineRule="exact"/>
        <w:ind w:firstLine="48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无。</w:t>
      </w:r>
    </w:p>
    <w:p w14:paraId="0F12174A">
      <w:pPr>
        <w:adjustRightInd/>
        <w:spacing w:line="520" w:lineRule="exact"/>
        <w:ind w:right="240" w:firstLine="480" w:firstLineChars="200"/>
        <w:jc w:val="righ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《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半导体制造工艺腔室温度场均匀性测试与评价方法</w:t>
      </w:r>
      <w:r>
        <w:rPr>
          <w:rFonts w:hint="eastAsia" w:ascii="Times New Roman" w:hAnsi="Times New Roman" w:cs="Times New Roman"/>
          <w:sz w:val="24"/>
          <w:szCs w:val="24"/>
        </w:rPr>
        <w:t>》团体标准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编制组</w:t>
      </w:r>
    </w:p>
    <w:p w14:paraId="0E927A61">
      <w:pPr>
        <w:adjustRightInd/>
        <w:spacing w:line="520" w:lineRule="exact"/>
        <w:ind w:right="240" w:firstLine="480" w:firstLineChars="200"/>
        <w:jc w:val="right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202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年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月</w:t>
      </w:r>
    </w:p>
    <w:sectPr>
      <w:footerReference r:id="rId6" w:type="first"/>
      <w:footerReference r:id="rId5" w:type="default"/>
      <w:pgSz w:w="11906" w:h="16838"/>
      <w:pgMar w:top="1474" w:right="1474" w:bottom="1474" w:left="1474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0263D">
    <w:pPr>
      <w:pStyle w:val="6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0390F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0390F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A3D8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E4DD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6E4DD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7EA28"/>
    <w:multiLevelType w:val="singleLevel"/>
    <w:tmpl w:val="DF77EA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lMzE1NmU5NGVjNjg2MzIyYjQyMTM1ZjkxNWYxOTEifQ=="/>
  </w:docVars>
  <w:rsids>
    <w:rsidRoot w:val="59344C26"/>
    <w:rsid w:val="00003F8E"/>
    <w:rsid w:val="00031262"/>
    <w:rsid w:val="000678C8"/>
    <w:rsid w:val="000C2941"/>
    <w:rsid w:val="001E0BCA"/>
    <w:rsid w:val="0022665B"/>
    <w:rsid w:val="002D5E86"/>
    <w:rsid w:val="00316E46"/>
    <w:rsid w:val="00396248"/>
    <w:rsid w:val="00480E96"/>
    <w:rsid w:val="004A39DC"/>
    <w:rsid w:val="00582A2F"/>
    <w:rsid w:val="005C11CB"/>
    <w:rsid w:val="005E679A"/>
    <w:rsid w:val="00656B83"/>
    <w:rsid w:val="0069157B"/>
    <w:rsid w:val="006D57C9"/>
    <w:rsid w:val="00780B13"/>
    <w:rsid w:val="007A6776"/>
    <w:rsid w:val="00877D40"/>
    <w:rsid w:val="00920FC6"/>
    <w:rsid w:val="009365DD"/>
    <w:rsid w:val="00953173"/>
    <w:rsid w:val="00953DD1"/>
    <w:rsid w:val="009B2A7D"/>
    <w:rsid w:val="009F158D"/>
    <w:rsid w:val="00A450BA"/>
    <w:rsid w:val="00AD07F2"/>
    <w:rsid w:val="00AE10C4"/>
    <w:rsid w:val="00B25D6A"/>
    <w:rsid w:val="00BE37FD"/>
    <w:rsid w:val="00BF2017"/>
    <w:rsid w:val="00D30CDC"/>
    <w:rsid w:val="00D468A7"/>
    <w:rsid w:val="00DF18E0"/>
    <w:rsid w:val="00EC3847"/>
    <w:rsid w:val="00EF14A0"/>
    <w:rsid w:val="00F339D1"/>
    <w:rsid w:val="00F371BA"/>
    <w:rsid w:val="00F663F7"/>
    <w:rsid w:val="00F9799E"/>
    <w:rsid w:val="00F97C40"/>
    <w:rsid w:val="00FD38D1"/>
    <w:rsid w:val="00FD47E3"/>
    <w:rsid w:val="026D6E02"/>
    <w:rsid w:val="02F25185"/>
    <w:rsid w:val="03F12027"/>
    <w:rsid w:val="050D4849"/>
    <w:rsid w:val="07C53D22"/>
    <w:rsid w:val="09D021AA"/>
    <w:rsid w:val="09E013D8"/>
    <w:rsid w:val="0E125B51"/>
    <w:rsid w:val="0EF73150"/>
    <w:rsid w:val="10060813"/>
    <w:rsid w:val="10DC4F31"/>
    <w:rsid w:val="11E24C48"/>
    <w:rsid w:val="15E52C78"/>
    <w:rsid w:val="1732672E"/>
    <w:rsid w:val="178A75E4"/>
    <w:rsid w:val="1A554829"/>
    <w:rsid w:val="1A646826"/>
    <w:rsid w:val="1AA32829"/>
    <w:rsid w:val="1C6642AB"/>
    <w:rsid w:val="1DE0459D"/>
    <w:rsid w:val="1E0C661C"/>
    <w:rsid w:val="1E237678"/>
    <w:rsid w:val="1E6E623A"/>
    <w:rsid w:val="1EBF0EDC"/>
    <w:rsid w:val="202076CF"/>
    <w:rsid w:val="2194727B"/>
    <w:rsid w:val="223573AF"/>
    <w:rsid w:val="22A266A4"/>
    <w:rsid w:val="241C052D"/>
    <w:rsid w:val="2656217A"/>
    <w:rsid w:val="27133B25"/>
    <w:rsid w:val="28655A50"/>
    <w:rsid w:val="2B7D1EF0"/>
    <w:rsid w:val="2C4A3F97"/>
    <w:rsid w:val="30F960DF"/>
    <w:rsid w:val="330927AE"/>
    <w:rsid w:val="33E52935"/>
    <w:rsid w:val="346C2CC0"/>
    <w:rsid w:val="352944D8"/>
    <w:rsid w:val="358362DE"/>
    <w:rsid w:val="36916617"/>
    <w:rsid w:val="39CE4183"/>
    <w:rsid w:val="3B8D6699"/>
    <w:rsid w:val="3CC33464"/>
    <w:rsid w:val="3EB47508"/>
    <w:rsid w:val="3EB827C1"/>
    <w:rsid w:val="3F8F0DE9"/>
    <w:rsid w:val="43E3475B"/>
    <w:rsid w:val="45837C34"/>
    <w:rsid w:val="491238A7"/>
    <w:rsid w:val="4AE65C90"/>
    <w:rsid w:val="4B5072BB"/>
    <w:rsid w:val="4B5510D9"/>
    <w:rsid w:val="4BF94D80"/>
    <w:rsid w:val="4D096C71"/>
    <w:rsid w:val="4D4D4194"/>
    <w:rsid w:val="4E1C26F1"/>
    <w:rsid w:val="5150261A"/>
    <w:rsid w:val="529B78C2"/>
    <w:rsid w:val="52A075B6"/>
    <w:rsid w:val="53D84BED"/>
    <w:rsid w:val="53F2245B"/>
    <w:rsid w:val="561B5752"/>
    <w:rsid w:val="57E53B79"/>
    <w:rsid w:val="59344C26"/>
    <w:rsid w:val="5A3B68D8"/>
    <w:rsid w:val="5AFE1A31"/>
    <w:rsid w:val="5BC80BA0"/>
    <w:rsid w:val="5EA47786"/>
    <w:rsid w:val="5F8F42AD"/>
    <w:rsid w:val="5FB93C59"/>
    <w:rsid w:val="609E371C"/>
    <w:rsid w:val="610E43FE"/>
    <w:rsid w:val="61A905CB"/>
    <w:rsid w:val="61EB2350"/>
    <w:rsid w:val="621517BC"/>
    <w:rsid w:val="622C4B77"/>
    <w:rsid w:val="628B2227"/>
    <w:rsid w:val="6299419B"/>
    <w:rsid w:val="63F51786"/>
    <w:rsid w:val="65FD3DC7"/>
    <w:rsid w:val="66AD645E"/>
    <w:rsid w:val="67332E10"/>
    <w:rsid w:val="699403C8"/>
    <w:rsid w:val="69EA352F"/>
    <w:rsid w:val="6B3B6A1E"/>
    <w:rsid w:val="6BB84480"/>
    <w:rsid w:val="6CFE65E7"/>
    <w:rsid w:val="6FFC0478"/>
    <w:rsid w:val="70B155EE"/>
    <w:rsid w:val="74793E2D"/>
    <w:rsid w:val="768B2463"/>
    <w:rsid w:val="76B66E3B"/>
    <w:rsid w:val="771A1486"/>
    <w:rsid w:val="77C33D3D"/>
    <w:rsid w:val="77ED3F06"/>
    <w:rsid w:val="78BC25D4"/>
    <w:rsid w:val="79623EA7"/>
    <w:rsid w:val="7AC202DC"/>
    <w:rsid w:val="7B05054F"/>
    <w:rsid w:val="7BC46246"/>
    <w:rsid w:val="7C55517F"/>
    <w:rsid w:val="7D1F6674"/>
    <w:rsid w:val="7EBB34B1"/>
    <w:rsid w:val="7F30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before="50" w:line="360" w:lineRule="exact"/>
    </w:pPr>
    <w:rPr>
      <w:b/>
      <w:bCs/>
      <w:color w:val="FF0000"/>
      <w:sz w:val="18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7"/>
    <w:autoRedefine/>
    <w:qFormat/>
    <w:uiPriority w:val="0"/>
    <w:rPr>
      <w:rFonts w:ascii="Calibri" w:hAnsi="Calibri" w:eastAsia="宋体" w:cs="Calibri"/>
      <w:kern w:val="2"/>
      <w:sz w:val="18"/>
      <w:szCs w:val="18"/>
    </w:rPr>
  </w:style>
  <w:style w:type="paragraph" w:customStyle="1" w:styleId="13">
    <w:name w:val="段"/>
    <w:basedOn w:val="1"/>
    <w:link w:val="15"/>
    <w:autoRedefine/>
    <w:qFormat/>
    <w:uiPriority w:val="0"/>
    <w:pPr>
      <w:spacing w:line="240" w:lineRule="auto"/>
      <w:ind w:firstLine="420" w:firstLineChars="200"/>
    </w:pPr>
    <w:rPr>
      <w:rFonts w:ascii="Times New Roman" w:hAnsi="Times New Roman"/>
    </w:rPr>
  </w:style>
  <w:style w:type="character" w:customStyle="1" w:styleId="14">
    <w:name w:val="页脚 字符"/>
    <w:basedOn w:val="10"/>
    <w:link w:val="6"/>
    <w:autoRedefine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5">
    <w:name w:val="段 字符"/>
    <w:basedOn w:val="10"/>
    <w:link w:val="13"/>
    <w:autoRedefine/>
    <w:qFormat/>
    <w:uiPriority w:val="0"/>
    <w:rPr>
      <w:rFonts w:cs="Calibri"/>
      <w:kern w:val="2"/>
      <w:sz w:val="21"/>
      <w:szCs w:val="21"/>
    </w:rPr>
  </w:style>
  <w:style w:type="paragraph" w:customStyle="1" w:styleId="16">
    <w:name w:val="正文段落，引导语"/>
    <w:basedOn w:val="13"/>
    <w:autoRedefine/>
    <w:qFormat/>
    <w:uiPriority w:val="0"/>
    <w:rPr>
      <w:rFonts w:ascii="宋体" w:hAnsi="宋体"/>
    </w:rPr>
  </w:style>
  <w:style w:type="paragraph" w:customStyle="1" w:styleId="17">
    <w:name w:val="一级条标题"/>
    <w:next w:val="13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8">
    <w:name w:val="表正缩"/>
    <w:autoRedefine/>
    <w:qFormat/>
    <w:uiPriority w:val="0"/>
    <w:pPr>
      <w:framePr w:hSpace="180" w:wrap="around" w:vAnchor="text" w:hAnchor="text" w:y="1"/>
      <w:suppressOverlap/>
      <w:ind w:firstLine="200" w:firstLineChars="200"/>
      <w:jc w:val="both"/>
    </w:pPr>
    <w:rPr>
      <w:rFonts w:ascii="方正仿宋_GB2312" w:hAnsi="Times New Roman" w:eastAsia="方正仿宋_GB2312" w:cstheme="minorBidi"/>
      <w:kern w:val="2"/>
      <w:sz w:val="21"/>
      <w:szCs w:val="28"/>
      <w:lang w:val="en-US" w:eastAsia="zh-CN" w:bidi="ar-SA"/>
    </w:rPr>
  </w:style>
  <w:style w:type="paragraph" w:customStyle="1" w:styleId="19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729485d1-8137-4403-b675-2cfed8035be9</errorID>
      <errorWord>制定计划</errorWord>
      <group>L1_Word</group>
      <groupName>字词问题</groupName>
      <ability>L2_Typo</ability>
      <abilityName>字词错误</abilityName>
      <candidateList>
        <item>制订计划</item>
      </candidateList>
      <explain/>
      <paraID>3CAA0B36</paraID>
      <start>26</start>
      <end>30</end>
      <status>unmodified</status>
      <modifiedWord/>
      <trackRevisions>false</trackRevisions>
    </reviewItem>
    <reviewItem>
      <errorID>3ed38805-d4ef-445f-8935-5e19fe7af31f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7154C64F</paraID>
      <start>269</start>
      <end>271</end>
      <status>unmodified</status>
      <modifiedWord/>
      <trackRevisions>false</trackRevisions>
    </reviewItem>
    <reviewItem>
      <errorID>fa6131eb-0060-4e10-9ecb-d7f034cbf560</errorID>
      <errorWord>相关的</errorWord>
      <group>L1_Word</group>
      <groupName>字词问题</groupName>
      <ability>L2_Typo</ability>
      <abilityName>字词错误</abilityName>
      <candidateList>
        <item>相关</item>
      </candidateList>
      <explain>〈动〉彼此关连：休戚～｜体育事业和人民健康密切～。</explain>
      <paraID>39DEC089</paraID>
      <start>29</start>
      <end>31</end>
      <status>modified</status>
      <modifiedWord>相关</modifiedWord>
      <trackRevisions>false</trackRevisions>
    </reviewItem>
    <reviewItem>
      <errorID>6949ce1c-7ba0-421f-b974-9e5e997a6ad0</errorID>
      <errorWord>制造</errorWord>
      <group>L1_Grammar</group>
      <groupName>语法问题</groupName>
      <ability>L2_Grammar</ability>
      <abilityName>语法错误</abilityName>
      <candidateList>
        <item>制定</item>
      </candidateList>
      <explain>“制造～政策”搭配不当，建议修改为“制定～政策”。</explain>
      <paraID>22D3B63C</paraID>
      <start>15</start>
      <end>17</end>
      <status>unmodified</status>
      <modifiedWord/>
      <trackRevisions>false</trackRevisions>
    </reviewItem>
    <reviewItem>
      <errorID>683aec97-6f76-4c30-b3ef-4d6d1b7342d6</errorID>
      <errorWord>标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 7885806</paraID>
      <start>1</start>
      <end>3</end>
      <status>modified</status>
      <modifiedWord>标准</modifiedWord>
      <trackRevisions>false</trackRevisions>
    </reviewItem>
    <reviewItem>
      <errorID>1fa86747-473f-41e9-b2df-c535a7aab530</errorID>
      <errorWord>升</errorWord>
      <group>L1_Word</group>
      <groupName>字词问题</groupName>
      <ability>L2_Typo</ability>
      <abilityName>字词错误</abilityName>
      <candidateList>
        <item>升级</item>
      </candidateList>
      <explain>〈动〉❶从较低的等级或班级升到较高的等级或班级：产品～换代｜考试及格，方可～。❷指战争的规模扩大、事态的紧张程度加深等：战争～。</explain>
      <paraID>7532DF43</paraID>
      <start>59</start>
      <end>61</end>
      <status>modified</status>
      <modifiedWord>升级</modifiedWord>
      <trackRevisions>false</trackRevisions>
    </reviewItem>
    <reviewItem>
      <errorID>82adc2fe-4b0c-461f-adb2-8a14126e807d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46C705F4</paraID>
      <start>6</start>
      <end>11</end>
      <status>unmodified</status>
      <modifiedWord/>
      <trackRevisions>false</trackRevisions>
    </reviewItem>
    <reviewItem>
      <errorID>78f0e13e-0d67-467d-9a3e-8eaf5a8989f5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5D5F9222</paraID>
      <start>36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7a939-7365-46a5-bc4c-adb9472073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2798</Words>
  <Characters>2984</Characters>
  <Lines>22</Lines>
  <Paragraphs>6</Paragraphs>
  <TotalTime>9</TotalTime>
  <ScaleCrop>false</ScaleCrop>
  <LinksUpToDate>false</LinksUpToDate>
  <CharactersWithSpaces>3030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2024-02-21T02:44:00Z</dcterms:created>
  <dc:creator>Admin</dc:creator>
  <cp:lastModifiedBy>标准部--李佳旭</cp:lastModifiedBy>
  <cp:lastPrinted>2024-05-17T07:43:00Z</cp:lastPrinted>
  <dcterms:modified xsi:type="dcterms:W3CDTF">2026-05-11T06:48:56Z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E6153694E41A4EBBB4C0EC29E6F37677_13</vt:lpwstr>
  </property>
  <property fmtid="{D5CDD505-2E9C-101B-9397-08002B2CF9AE}" pid="4" name="KSOTemplateDocerSaveRecord">
    <vt:lpwstr>eyJoZGlkIjoiMjQ2ZTA4YjVlM2RhY2MzNDBlZDIzZmY3YTlmMTk4Y2IiLCJ1c2VySWQiOiI2Nzg0MTk3MDUifQ==</vt:lpwstr>
  </property>
</Properties>
</file>