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A14AE">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rPr>
        <w:t>《电子级高纯化学品用不锈钢焊接容器</w:t>
      </w:r>
    </w:p>
    <w:p w14:paraId="53D57E9B">
      <w:pPr>
        <w:spacing w:before="156" w:beforeLines="50" w:after="156" w:afterLines="50" w:line="240" w:lineRule="auto"/>
        <w:jc w:val="center"/>
        <w:rPr>
          <w:rFonts w:hint="eastAsia" w:ascii="宋体" w:hAnsi="宋体" w:eastAsia="宋体" w:cs="宋体"/>
          <w:sz w:val="44"/>
          <w:szCs w:val="44"/>
        </w:rPr>
      </w:pPr>
      <w:bookmarkStart w:id="0" w:name="_GoBack"/>
      <w:bookmarkEnd w:id="0"/>
      <w:r>
        <w:rPr>
          <w:rFonts w:hint="eastAsia" w:ascii="宋体" w:hAnsi="宋体" w:eastAsia="宋体" w:cs="宋体"/>
          <w:sz w:val="44"/>
          <w:szCs w:val="44"/>
        </w:rPr>
        <w:t>技术规范》</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项目名称为《电子级高纯化学品用不锈钢焊接容器技术规范》</w:t>
      </w:r>
      <w:r>
        <w:rPr>
          <w:rFonts w:hint="eastAsia" w:ascii="宋体" w:hAnsi="宋体" w:cs="宋体"/>
          <w:lang w:val="en-US" w:eastAsia="zh-CN"/>
        </w:rPr>
        <w:t>项目计划号T/CEATEC-2026-122</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9"/>
        <w:widowControl/>
        <w:spacing w:beforeAutospacing="0" w:afterAutospacing="0" w:line="520" w:lineRule="exact"/>
        <w:ind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本文件起草单位：江苏容导半导体科技有限公司</w:t>
      </w:r>
      <w:r>
        <w:rPr>
          <w:rFonts w:hint="eastAsia" w:ascii="宋体" w:hAnsi="宋体" w:cs="宋体"/>
          <w:highlight w:val="none"/>
          <w:lang w:val="en-US" w:eastAsia="zh-CN"/>
        </w:rPr>
        <w:t>、</w:t>
      </w:r>
      <w:r>
        <w:rPr>
          <w:rFonts w:hint="eastAsia" w:ascii="宋体" w:hAnsi="宋体" w:eastAsia="宋体" w:cs="宋体"/>
          <w:highlight w:val="none"/>
          <w:lang w:val="en-US"/>
        </w:rPr>
        <w:t>常州容导精密装备有限公司</w:t>
      </w:r>
      <w:r>
        <w:rPr>
          <w:rFonts w:hint="eastAsia" w:ascii="宋体" w:hAnsi="宋体" w:cs="宋体"/>
          <w:highlight w:val="none"/>
          <w:lang w:val="en-US" w:eastAsia="zh-CN"/>
        </w:rPr>
        <w:t>、</w:t>
      </w:r>
      <w:r>
        <w:rPr>
          <w:rFonts w:hint="eastAsia" w:ascii="宋体" w:hAnsi="宋体" w:eastAsia="宋体" w:cs="宋体"/>
          <w:highlight w:val="none"/>
          <w:lang w:val="en-US"/>
        </w:rPr>
        <w:t>浙江镇田机械有限公司</w:t>
      </w:r>
      <w:r>
        <w:rPr>
          <w:rFonts w:hint="eastAsia" w:ascii="宋体" w:hAnsi="宋体" w:cs="宋体"/>
          <w:highlight w:val="none"/>
          <w:lang w:val="en-US" w:eastAsia="zh-CN"/>
        </w:rPr>
        <w:t>、</w:t>
      </w:r>
      <w:r>
        <w:rPr>
          <w:rFonts w:hint="eastAsia" w:ascii="宋体" w:hAnsi="宋体" w:eastAsia="宋体" w:cs="宋体"/>
          <w:highlight w:val="none"/>
          <w:lang w:val="en-US"/>
        </w:rPr>
        <w:t>昆山新莱洁净应用材料股份有限公司。</w:t>
      </w:r>
    </w:p>
    <w:p w14:paraId="718A9020">
      <w:pPr>
        <w:pStyle w:val="9"/>
        <w:widowControl/>
        <w:spacing w:beforeAutospacing="0" w:afterAutospacing="0" w:line="520" w:lineRule="exact"/>
        <w:ind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本文件</w:t>
      </w:r>
      <w:r>
        <w:rPr>
          <w:rFonts w:hint="eastAsia" w:ascii="宋体" w:hAnsi="宋体" w:eastAsia="宋体" w:cs="宋体"/>
          <w:highlight w:val="none"/>
          <w:lang w:val="en-US" w:eastAsia="zh-CN"/>
        </w:rPr>
        <w:t>主要</w:t>
      </w:r>
      <w:r>
        <w:rPr>
          <w:rFonts w:hint="eastAsia" w:ascii="宋体" w:hAnsi="宋体" w:eastAsia="宋体" w:cs="宋体"/>
          <w:highlight w:val="none"/>
          <w:lang w:val="en-US"/>
        </w:rPr>
        <w:t>起草人：董兴玉、刘民、陆翔、王仲恺、何永宁、项光武、阳章、范志旻。</w:t>
      </w:r>
    </w:p>
    <w:p w14:paraId="58F93C67">
      <w:pPr>
        <w:pStyle w:val="3"/>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从产业角度分析，制定《电子级高纯化学品用不锈钢焊接容器技术规范》团体标准的目的和意义主要体现在以下几个方面：</w:t>
      </w:r>
    </w:p>
    <w:p w14:paraId="53F75B36">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1.</w:t>
      </w:r>
      <w:r>
        <w:rPr>
          <w:rFonts w:hint="eastAsia" w:ascii="宋体" w:hAnsi="宋体" w:eastAsia="宋体" w:cs="宋体"/>
          <w:lang w:val="en-US"/>
        </w:rPr>
        <w:t>目的</w:t>
      </w:r>
    </w:p>
    <w:p w14:paraId="0F4340EE">
      <w:pPr>
        <w:pStyle w:val="9"/>
        <w:widowControl/>
        <w:spacing w:beforeAutospacing="0" w:afterAutospacing="0" w:line="52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电子级高纯化学品不锈钢焊接容器是半导体、显示面板、光伏新能源、集成电路等电子制造领域核心储运装备，直接承担高纯试剂、特种气体、电子溶剂等关键物料的密闭储存、中转与输送功能，其内壁清洁度、颗粒物控制、金属离子析出、有机物残留等指标，直接决定电子级化学品纯度与电子元器件制造良率。该类容器广泛应用于晶圆制造、光刻、蚀刻、薄膜沉积等精密制程，必须满足超低颗粒物、无重金属污染、无有机残留、耐酸碱腐蚀、焊接无死角洁净等严苛要求，是电子化学品产业链安全稳定运行的关键基础装备。</w:t>
      </w:r>
    </w:p>
    <w:p w14:paraId="10C7BE68">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早期电子级化学品储运容器多依赖进口，清洁度标准与检测方法不统一，国产容器因焊接工艺、内壁处理、清洗流程、检测手段参差不齐，难以满足10nm及以下先进制程要求。随着我国半导体与电子信息产业高速发展，电子级高纯化学品需求爆发式增长，不锈钢焊接容器朝着超洁净、高精度、高耐蚀、易清洁、可溯源方向快速升级，国产化替代进程持续加快。</w:t>
      </w:r>
    </w:p>
    <w:p w14:paraId="50BD02FC">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当前行业缺乏电子级高纯化学品专用不锈钢焊接容器清洁度的统一检测与验收规范，现有标准偏向通用化工容器，未针对电子级场景制定颗粒物、离子析出、TOC、焊接死角、内表面粗糙度等关键限值，导致不同厂家产品清洁度差异巨大，部分产品存在虚标清洁等级、清洗不彻底、焊接残留、检测方法不统一等问题，既增加电子企业选型与验证成本，也因容器污染引发物料报废、制程缺陷、良率下降等风险，严重制约电子化学品供应链自主可控与高端制造升级。制定本标准的必要性体现在：统一清洁度检测方法、判定指标与验收规则，划定行业质量底线；规范容器设计、焊接、清洗、钝化、包装全流程洁净管控；提升国产容器兼容性、可靠性与可追溯性，降低电子企业验证与运维成本；引导行业聚焦洁净技术创新，支撑高端电子制造产业高质量发展。</w:t>
      </w:r>
    </w:p>
    <w:p w14:paraId="03422FB4">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2.</w:t>
      </w:r>
      <w:r>
        <w:rPr>
          <w:rFonts w:hint="eastAsia" w:ascii="宋体" w:hAnsi="宋体" w:eastAsia="宋体" w:cs="宋体"/>
          <w:lang w:val="en-US"/>
        </w:rPr>
        <w:t>意义</w:t>
      </w:r>
    </w:p>
    <w:p w14:paraId="3FE97B18">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国家高度重视电子信息产业与关键新材料自主可控，陆续出台《“十四五”原材料工业发展规划》《关于推动能源电子产业发展的指导意见》等政策，明确将电子级高纯化学品储运装备、超洁净处理技术、精密检测方法列为重点攻关方向，要求加快电子化学品领域标准体系建设，完善关键装备检测与验收规范。制定本标准，是落实国家产业政策、补齐电子化学品装备标准短板的重要举措，可为半导体、显示、光伏等领域提供统一、科学、可落地的清洁度管控依据，推动国产不锈钢焊接容器达到国际先进水平，保障电子级化学品供应链安全，提升我国在高端电子制造领域的核心竞争力，具有显著产业价值与战略意义。</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1.前期准备工作</w:t>
      </w:r>
    </w:p>
    <w:p w14:paraId="39DEC089">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cs="宋体"/>
          <w:lang w:val="en-US" w:eastAsia="zh-CN"/>
        </w:rPr>
        <w:t>22</w:t>
      </w:r>
      <w:r>
        <w:rPr>
          <w:rFonts w:hint="eastAsia" w:ascii="宋体" w:hAnsi="宋体" w:eastAsia="宋体" w:cs="宋体"/>
          <w:lang w:val="en-US" w:eastAsia="zh-CN"/>
        </w:rPr>
        <w:t>日</w:t>
      </w:r>
      <w:r>
        <w:rPr>
          <w:rFonts w:hint="eastAsia" w:ascii="宋体" w:hAnsi="宋体" w:cs="宋体"/>
          <w:lang w:val="en-US" w:eastAsia="zh-CN"/>
        </w:rPr>
        <w:t>，</w:t>
      </w:r>
      <w:r>
        <w:rPr>
          <w:rFonts w:hint="eastAsia" w:ascii="宋体" w:hAnsi="宋体" w:eastAsia="宋体" w:cs="宋体"/>
          <w:lang w:val="en-US" w:eastAsia="zh-CN"/>
        </w:rPr>
        <w:t>本团体标准由中国欧洲经济技术合作协会正式立项，立项名称为：</w:t>
      </w:r>
      <w:r>
        <w:rPr>
          <w:rFonts w:hint="eastAsia" w:ascii="宋体" w:hAnsi="宋体" w:eastAsia="宋体" w:cs="宋体"/>
          <w:lang w:val="en-US"/>
        </w:rPr>
        <w:t>《电子级高纯化学品不锈钢焊接容器清洁度检测与验收规范》</w:t>
      </w:r>
      <w:r>
        <w:rPr>
          <w:rFonts w:hint="eastAsia" w:ascii="宋体" w:hAnsi="宋体" w:eastAsia="宋体" w:cs="宋体"/>
          <w:lang w:val="en-US" w:eastAsia="zh-CN"/>
        </w:rPr>
        <w:t>。</w:t>
      </w:r>
    </w:p>
    <w:p w14:paraId="50B22881">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2.标准起草过程</w:t>
      </w:r>
    </w:p>
    <w:p w14:paraId="2442C1C6">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eastAsia="宋体" w:cs="宋体"/>
          <w:lang w:val="en-US" w:eastAsia="zh-CN"/>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5</w:t>
      </w:r>
      <w:r>
        <w:rPr>
          <w:rFonts w:hint="eastAsia" w:ascii="宋体" w:hAnsi="宋体" w:eastAsia="宋体" w:cs="宋体"/>
          <w:lang w:val="en-US"/>
        </w:rPr>
        <w:t>月</w:t>
      </w:r>
      <w:r>
        <w:rPr>
          <w:rFonts w:hint="eastAsia" w:ascii="宋体" w:hAnsi="宋体" w:eastAsia="宋体" w:cs="宋体"/>
          <w:lang w:val="en-US" w:eastAsia="zh-CN"/>
        </w:rPr>
        <w:t>初完成了标准初稿及编制说明的撰写工作。</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9"/>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1.标准主要内容</w:t>
      </w:r>
    </w:p>
    <w:p w14:paraId="066FC14A">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1.1</w:t>
      </w:r>
      <w:r>
        <w:rPr>
          <w:rFonts w:hint="eastAsia" w:ascii="宋体" w:hAnsi="宋体" w:cs="宋体"/>
          <w:lang w:val="en-US" w:eastAsia="zh-CN"/>
        </w:rPr>
        <w:t xml:space="preserve"> </w:t>
      </w:r>
      <w:r>
        <w:rPr>
          <w:rFonts w:hint="eastAsia" w:ascii="宋体" w:hAnsi="宋体" w:eastAsia="宋体" w:cs="宋体"/>
          <w:lang w:val="en-US" w:eastAsia="zh-CN"/>
        </w:rPr>
        <w:t>范围</w:t>
      </w:r>
    </w:p>
    <w:p w14:paraId="27E075F9">
      <w:pPr>
        <w:pStyle w:val="9"/>
        <w:widowControl/>
        <w:spacing w:beforeAutospacing="0" w:afterAutospacing="0" w:line="520" w:lineRule="exact"/>
        <w:ind w:firstLine="480" w:firstLineChars="200"/>
        <w:jc w:val="both"/>
        <w:rPr>
          <w:rFonts w:hint="eastAsia" w:ascii="宋体" w:hAnsi="宋体" w:cs="宋体"/>
          <w:lang w:val="en-US" w:eastAsia="zh-CN"/>
        </w:rPr>
      </w:pPr>
      <w:r>
        <w:rPr>
          <w:rFonts w:hint="eastAsia" w:ascii="宋体" w:hAnsi="宋体" w:cs="宋体"/>
          <w:lang w:val="en-US" w:eastAsia="zh-CN"/>
        </w:rPr>
        <w:t>本文件规定了电子级高纯化学品不锈钢焊接容器清洁度检测的检测条件、检测方法、验收规则等内容。</w:t>
      </w:r>
    </w:p>
    <w:p w14:paraId="0AFE88CB">
      <w:pPr>
        <w:pStyle w:val="9"/>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cs="宋体"/>
          <w:lang w:val="en-US" w:eastAsia="zh-CN"/>
        </w:rPr>
        <w:t>本文件适用于电子级高纯化学品不锈钢焊接容器的清洁度检测与验收工作。</w:t>
      </w:r>
    </w:p>
    <w:p w14:paraId="5673A44B">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1.2</w:t>
      </w:r>
      <w:r>
        <w:rPr>
          <w:rFonts w:hint="eastAsia" w:ascii="宋体" w:hAnsi="宋体" w:cs="宋体"/>
          <w:lang w:val="en-US" w:eastAsia="zh-CN"/>
        </w:rPr>
        <w:t xml:space="preserve"> </w:t>
      </w:r>
      <w:r>
        <w:rPr>
          <w:rFonts w:hint="eastAsia" w:ascii="宋体" w:hAnsi="宋体" w:eastAsia="宋体" w:cs="宋体"/>
          <w:lang w:val="en-US" w:eastAsia="zh-CN"/>
        </w:rPr>
        <w:t>规范性引用文件</w:t>
      </w:r>
    </w:p>
    <w:p w14:paraId="402F1EBB">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1031  产品几何技术规范（GPS）  表面结构  轮廓法  表面粗糙度参数及其数值</w:t>
      </w:r>
    </w:p>
    <w:p w14:paraId="114257EE">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6062  产品几何技术规范（GPS）  表面结构  轮廓法  接触（触针）式仪器的标称特性</w:t>
      </w:r>
    </w:p>
    <w:p w14:paraId="2CAFB949">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6682  分析实验室用水规格和试验方法</w:t>
      </w:r>
    </w:p>
    <w:p w14:paraId="1B5820DE">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8979  纯氮、高纯氮和超纯氮</w:t>
      </w:r>
    </w:p>
    <w:p w14:paraId="084DF586">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11446.1  电子级水</w:t>
      </w:r>
    </w:p>
    <w:p w14:paraId="6AC77E63">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25915.1  洁净室及相关受控环境  第1部分：按粒子浓度划分空气洁净度等级</w:t>
      </w:r>
    </w:p>
    <w:p w14:paraId="04D98C4D">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39486  化学试剂  电感耦合等离子体质谱分析方法通则</w:t>
      </w:r>
    </w:p>
    <w:p w14:paraId="41494BBF">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HJ 501  水质  总有机碳的测定  燃烧氧化—非分散红外吸收法</w:t>
      </w:r>
    </w:p>
    <w:p w14:paraId="1B53E547">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HJ 776  水质  32种元素的测定  电感耦合等离子体发射光谱法</w:t>
      </w:r>
    </w:p>
    <w:p w14:paraId="28396E05">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 xml:space="preserve">1.4 </w:t>
      </w:r>
      <w:r>
        <w:rPr>
          <w:rFonts w:hint="eastAsia" w:ascii="宋体" w:hAnsi="宋体" w:cs="宋体"/>
          <w:lang w:val="en-US" w:eastAsia="zh-CN"/>
        </w:rPr>
        <w:t>检测条件</w:t>
      </w:r>
    </w:p>
    <w:p w14:paraId="6FCAEAE6">
      <w:pPr>
        <w:pStyle w:val="9"/>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cs="宋体"/>
          <w:lang w:val="en-US" w:eastAsia="zh-CN"/>
        </w:rPr>
        <w:t>对容器清洁度检测的检测条件进行规定。</w:t>
      </w:r>
    </w:p>
    <w:p w14:paraId="7AEBFEC9">
      <w:pPr>
        <w:pStyle w:val="9"/>
        <w:widowControl/>
        <w:spacing w:beforeAutospacing="0" w:afterAutospacing="0" w:line="520" w:lineRule="exact"/>
        <w:ind w:firstLine="480" w:firstLineChars="200"/>
        <w:jc w:val="both"/>
        <w:rPr>
          <w:rFonts w:hint="eastAsia" w:ascii="宋体" w:hAnsi="宋体" w:cs="宋体"/>
          <w:lang w:val="en-US" w:eastAsia="zh-CN"/>
        </w:rPr>
      </w:pPr>
      <w:r>
        <w:rPr>
          <w:rFonts w:hint="eastAsia" w:ascii="宋体" w:hAnsi="宋体" w:eastAsia="宋体" w:cs="宋体"/>
          <w:lang w:val="en-US" w:eastAsia="zh-CN"/>
        </w:rPr>
        <w:t xml:space="preserve">1.5 </w:t>
      </w:r>
      <w:r>
        <w:rPr>
          <w:rFonts w:hint="eastAsia" w:ascii="宋体" w:hAnsi="宋体" w:cs="宋体"/>
          <w:lang w:val="en-US" w:eastAsia="zh-CN"/>
        </w:rPr>
        <w:t>检测方法</w:t>
      </w:r>
    </w:p>
    <w:p w14:paraId="4458AF73">
      <w:pPr>
        <w:pStyle w:val="9"/>
        <w:widowControl/>
        <w:spacing w:beforeAutospacing="0" w:afterAutospacing="0" w:line="520" w:lineRule="exact"/>
        <w:ind w:firstLine="480" w:firstLineChars="200"/>
        <w:jc w:val="both"/>
        <w:rPr>
          <w:rFonts w:hint="default" w:ascii="宋体" w:hAnsi="宋体" w:cs="宋体"/>
          <w:lang w:val="en-US" w:eastAsia="zh-CN"/>
        </w:rPr>
      </w:pPr>
      <w:r>
        <w:rPr>
          <w:rFonts w:hint="eastAsia" w:ascii="宋体" w:hAnsi="宋体" w:cs="宋体"/>
          <w:lang w:val="en-US" w:eastAsia="zh-CN"/>
        </w:rPr>
        <w:t>对容器清洁度的检测方法进行规定。</w:t>
      </w:r>
    </w:p>
    <w:p w14:paraId="206EF25D">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cs="宋体"/>
          <w:lang w:val="en-US" w:eastAsia="zh-CN"/>
        </w:rPr>
        <w:t>1.6 验收规则</w:t>
      </w:r>
    </w:p>
    <w:p w14:paraId="5D583C23">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ascii="宋体" w:hAnsi="宋体" w:cs="宋体"/>
          <w:lang w:val="en-US" w:eastAsia="zh-CN"/>
        </w:rPr>
        <w:t>容器清洁度验收规则</w:t>
      </w:r>
      <w:r>
        <w:rPr>
          <w:rFonts w:hint="eastAsia" w:ascii="宋体" w:hAnsi="宋体" w:eastAsia="宋体" w:cs="宋体"/>
          <w:lang w:val="en-US" w:eastAsia="zh-CN"/>
        </w:rPr>
        <w:t>进行规定。</w:t>
      </w:r>
    </w:p>
    <w:p w14:paraId="60EA2A54">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2.确定标准主要内容的依据</w:t>
      </w:r>
    </w:p>
    <w:p w14:paraId="3EEF6842">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本标准主要内容依据国家</w:t>
      </w:r>
      <w:r>
        <w:rPr>
          <w:rFonts w:hint="eastAsia" w:ascii="宋体" w:hAnsi="宋体" w:eastAsia="宋体" w:cs="宋体"/>
          <w:lang w:val="en-US"/>
        </w:rPr>
        <w:t>《“十四五”原材料工业发展规划》《关于推动能源电子产业发展的指导意见》</w:t>
      </w:r>
      <w:r>
        <w:rPr>
          <w:rFonts w:hint="eastAsia" w:ascii="宋体" w:hAnsi="宋体" w:eastAsia="宋体" w:cs="宋体"/>
          <w:lang w:val="en-US" w:eastAsia="zh-CN"/>
        </w:rPr>
        <w:t>等政策文件要求确定，严格按照GB/T 1.1—2020《标准化工作导则 第</w:t>
      </w:r>
      <w:r>
        <w:rPr>
          <w:rFonts w:hint="eastAsia" w:ascii="宋体" w:hAnsi="宋体" w:cs="宋体"/>
          <w:lang w:val="en-US" w:eastAsia="zh-CN"/>
        </w:rPr>
        <w:t>1</w:t>
      </w:r>
      <w:r>
        <w:rPr>
          <w:rFonts w:hint="eastAsia" w:ascii="宋体" w:hAnsi="宋体" w:eastAsia="宋体" w:cs="宋体"/>
          <w:lang w:val="en-US" w:eastAsia="zh-CN"/>
        </w:rPr>
        <w:t>部分：标准化文件的结构和起草规则》编制，结合半导体晶圆制造、显示面板、光伏新能源、集成电路等电子级高纯化学品实际储运工况，聚焦超洁净、低析出、无残留、焊接无死角核心指标，兼顾国际先进水平与国内产业可实现性，针对当前行业清洁度标准缺失、检测方法不统一、验收无依据、污染风险高等痛点，形成科学、严谨、可执行的标准条款。</w:t>
      </w:r>
    </w:p>
    <w:p w14:paraId="0523CAD7">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540851BA">
      <w:pPr>
        <w:pStyle w:val="9"/>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编制过程中，选取多家起草单位量产电子级高纯化学品不锈钢焊接容器样品，按标准规定开展颗粒物计数、金属离子析出、TOC残留、内表面粗糙度、焊接洁净度、洁净包装完整性等检测。结果表明样品清洁度指标满足先进制程要求，颗粒物、离子析出、TOC残留等限值科学合理、可稳定实现；容器重量与结构符合高纯物料储运要求，不同厂家产品在电子级化学品产线具备良好互换性与兼容性。从技术经济论证来看，本标准指标基于成熟清洗、检测、钝化工艺制定，企业无需大规模改造产线即可达标；统一清洁度规范可显著降低电子企业容器验证、清洗、报废、污染损失等成本，提升供应链效率；规范行业质量底线，推动企业聚焦洁净技术、精密焊接、高效清洗等核心创新，提升国产容器国际竞争力。预期实施效果</w:t>
      </w:r>
      <w:r>
        <w:rPr>
          <w:rFonts w:hint="eastAsia" w:ascii="宋体" w:hAnsi="宋体" w:cs="宋体"/>
          <w:lang w:val="en-US" w:eastAsia="zh-CN"/>
        </w:rPr>
        <w:t>来看，将</w:t>
      </w:r>
      <w:r>
        <w:rPr>
          <w:rFonts w:hint="eastAsia" w:ascii="宋体" w:hAnsi="宋体" w:eastAsia="宋体" w:cs="宋体"/>
          <w:lang w:val="en-US" w:eastAsia="zh-CN"/>
        </w:rPr>
        <w:t>推动电子级高纯化学品不锈钢焊接容器行业标准化、洁净化、规模化、国产化发展，遏制低质产品无序竞争，降低产业链整体成本，提升我国电子化学品储运装备公信力与全球竞争力，为半导体、显示、光伏等高端电子制造产业提供关键装备标准支撑，带来显著经济效益与社会效益。</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9"/>
        <w:widowControl/>
        <w:spacing w:beforeAutospacing="0" w:afterAutospacing="0" w:line="520" w:lineRule="exact"/>
        <w:ind w:firstLine="480" w:firstLineChars="200"/>
        <w:jc w:val="both"/>
        <w:rPr>
          <w:rFonts w:ascii="Times New Roman" w:hAnsi="Times New Roman" w:cs="Times New Roman"/>
          <w:b w:val="0"/>
          <w:bCs w:val="0"/>
          <w:color w:val="auto"/>
          <w:sz w:val="24"/>
          <w:szCs w:val="24"/>
        </w:rPr>
      </w:pPr>
      <w:r>
        <w:rPr>
          <w:rFonts w:hint="eastAsia" w:ascii="宋体" w:hAnsi="宋体" w:eastAsia="宋体" w:cs="宋体"/>
          <w:lang w:val="en-US"/>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rPr>
        <w:t>无</w:t>
      </w:r>
      <w:r>
        <w:rPr>
          <w:rFonts w:hint="eastAsia" w:ascii="Times New Roman" w:hAnsi="Times New Roman" w:cs="Times New Roman"/>
          <w:b w:val="0"/>
          <w:bCs w:val="0"/>
          <w:color w:val="auto"/>
          <w:sz w:val="24"/>
          <w:szCs w:val="24"/>
        </w:rPr>
        <w:t>。</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0F12174A">
      <w:pPr>
        <w:adjustRightInd/>
        <w:spacing w:line="520" w:lineRule="exact"/>
        <w:ind w:right="240" w:firstLine="480" w:firstLineChars="200"/>
        <w:jc w:val="righ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《电子级高纯化学品不锈钢焊接容器清洁度检测与验收规范》团体标准</w:t>
      </w:r>
      <w:r>
        <w:rPr>
          <w:rFonts w:hint="eastAsia" w:ascii="Times New Roman" w:hAnsi="Times New Roman" w:cs="Times New Roman"/>
          <w:sz w:val="24"/>
          <w:szCs w:val="24"/>
          <w:lang w:val="en-US" w:eastAsia="zh-CN"/>
        </w:rPr>
        <w:t>编制组</w:t>
      </w:r>
    </w:p>
    <w:p w14:paraId="0E927A61">
      <w:pPr>
        <w:adjustRightInd/>
        <w:spacing w:line="520" w:lineRule="exact"/>
        <w:ind w:right="240"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7"/>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3F12027"/>
    <w:rsid w:val="050D4849"/>
    <w:rsid w:val="07C53D22"/>
    <w:rsid w:val="09D021AA"/>
    <w:rsid w:val="09E013D8"/>
    <w:rsid w:val="0E125B51"/>
    <w:rsid w:val="0EF73150"/>
    <w:rsid w:val="10060813"/>
    <w:rsid w:val="10DC4F31"/>
    <w:rsid w:val="11E24C48"/>
    <w:rsid w:val="15E52C78"/>
    <w:rsid w:val="1732672E"/>
    <w:rsid w:val="178A75E4"/>
    <w:rsid w:val="1A554829"/>
    <w:rsid w:val="1A646826"/>
    <w:rsid w:val="1AA32829"/>
    <w:rsid w:val="1C6642AB"/>
    <w:rsid w:val="1DE0459D"/>
    <w:rsid w:val="1E0C661C"/>
    <w:rsid w:val="1E237678"/>
    <w:rsid w:val="1E6E623A"/>
    <w:rsid w:val="1EBF0EDC"/>
    <w:rsid w:val="202076CF"/>
    <w:rsid w:val="2194727B"/>
    <w:rsid w:val="223573AF"/>
    <w:rsid w:val="22A266A4"/>
    <w:rsid w:val="241C052D"/>
    <w:rsid w:val="2656217A"/>
    <w:rsid w:val="27133B25"/>
    <w:rsid w:val="28655A50"/>
    <w:rsid w:val="2B7D1EF0"/>
    <w:rsid w:val="2C4A3F97"/>
    <w:rsid w:val="30F960DF"/>
    <w:rsid w:val="330927AE"/>
    <w:rsid w:val="33E52935"/>
    <w:rsid w:val="346C2CC0"/>
    <w:rsid w:val="352944D8"/>
    <w:rsid w:val="358362DE"/>
    <w:rsid w:val="36916617"/>
    <w:rsid w:val="39CE4183"/>
    <w:rsid w:val="3B8D6699"/>
    <w:rsid w:val="3CC33464"/>
    <w:rsid w:val="3EB47508"/>
    <w:rsid w:val="3EB827C1"/>
    <w:rsid w:val="3F2F7D87"/>
    <w:rsid w:val="3F8F0DE9"/>
    <w:rsid w:val="43E3475B"/>
    <w:rsid w:val="45837C34"/>
    <w:rsid w:val="491238A7"/>
    <w:rsid w:val="4AE65C90"/>
    <w:rsid w:val="4B5072BB"/>
    <w:rsid w:val="4B5510D9"/>
    <w:rsid w:val="4BF94D80"/>
    <w:rsid w:val="4C8A729F"/>
    <w:rsid w:val="4D096C71"/>
    <w:rsid w:val="4D4D4194"/>
    <w:rsid w:val="5150261A"/>
    <w:rsid w:val="529B78C2"/>
    <w:rsid w:val="52A075B6"/>
    <w:rsid w:val="53D84BED"/>
    <w:rsid w:val="53F2245B"/>
    <w:rsid w:val="561B5752"/>
    <w:rsid w:val="57E53B79"/>
    <w:rsid w:val="59344C26"/>
    <w:rsid w:val="5A3B68D8"/>
    <w:rsid w:val="5AFE1A31"/>
    <w:rsid w:val="5BC80BA0"/>
    <w:rsid w:val="5EA47786"/>
    <w:rsid w:val="5F1F5D94"/>
    <w:rsid w:val="5F8F42AD"/>
    <w:rsid w:val="5FB93C59"/>
    <w:rsid w:val="609E371C"/>
    <w:rsid w:val="610E43FE"/>
    <w:rsid w:val="61A905CB"/>
    <w:rsid w:val="61EB2350"/>
    <w:rsid w:val="621517BC"/>
    <w:rsid w:val="622C4B77"/>
    <w:rsid w:val="6299419B"/>
    <w:rsid w:val="63F51786"/>
    <w:rsid w:val="65FD3DC7"/>
    <w:rsid w:val="66AD645E"/>
    <w:rsid w:val="67332E10"/>
    <w:rsid w:val="67876787"/>
    <w:rsid w:val="695831B8"/>
    <w:rsid w:val="699403C8"/>
    <w:rsid w:val="69EA352F"/>
    <w:rsid w:val="6B3B6A1E"/>
    <w:rsid w:val="6BB84480"/>
    <w:rsid w:val="6CFE65E7"/>
    <w:rsid w:val="6FFC0478"/>
    <w:rsid w:val="70B155EE"/>
    <w:rsid w:val="74793E2D"/>
    <w:rsid w:val="768B2463"/>
    <w:rsid w:val="76B66E3B"/>
    <w:rsid w:val="771A1486"/>
    <w:rsid w:val="77C33D3D"/>
    <w:rsid w:val="77ED3F06"/>
    <w:rsid w:val="78BC25D4"/>
    <w:rsid w:val="78FD3AF7"/>
    <w:rsid w:val="79623EA7"/>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qFormat/>
    <w:uiPriority w:val="0"/>
    <w:pPr>
      <w:spacing w:before="50" w:line="360" w:lineRule="exact"/>
    </w:pPr>
    <w:rPr>
      <w:b/>
      <w:bCs/>
      <w:color w:val="FF0000"/>
      <w:sz w:val="18"/>
    </w:rPr>
  </w:style>
  <w:style w:type="paragraph" w:styleId="6">
    <w:name w:val="annotation text"/>
    <w:basedOn w:val="1"/>
    <w:autoRedefine/>
    <w:qFormat/>
    <w:uiPriority w:val="0"/>
    <w:pPr>
      <w:jc w:val="left"/>
    </w:p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szCs w:val="24"/>
    </w:rPr>
  </w:style>
  <w:style w:type="character" w:styleId="12">
    <w:name w:val="Strong"/>
    <w:basedOn w:val="11"/>
    <w:autoRedefine/>
    <w:qFormat/>
    <w:uiPriority w:val="22"/>
    <w:rPr>
      <w:b/>
      <w:bCs/>
    </w:rPr>
  </w:style>
  <w:style w:type="character" w:customStyle="1" w:styleId="13">
    <w:name w:val="页眉 字符"/>
    <w:basedOn w:val="11"/>
    <w:link w:val="8"/>
    <w:autoRedefine/>
    <w:qFormat/>
    <w:uiPriority w:val="0"/>
    <w:rPr>
      <w:rFonts w:ascii="Calibri" w:hAnsi="Calibri" w:eastAsia="宋体" w:cs="Calibri"/>
      <w:kern w:val="2"/>
      <w:sz w:val="18"/>
      <w:szCs w:val="18"/>
    </w:rPr>
  </w:style>
  <w:style w:type="paragraph" w:customStyle="1" w:styleId="14">
    <w:name w:val="段"/>
    <w:basedOn w:val="1"/>
    <w:link w:val="16"/>
    <w:autoRedefine/>
    <w:qFormat/>
    <w:uiPriority w:val="0"/>
    <w:pPr>
      <w:spacing w:line="240" w:lineRule="auto"/>
      <w:ind w:firstLine="420" w:firstLineChars="200"/>
    </w:pPr>
    <w:rPr>
      <w:rFonts w:ascii="Times New Roman" w:hAnsi="Times New Roman"/>
    </w:rPr>
  </w:style>
  <w:style w:type="character" w:customStyle="1" w:styleId="15">
    <w:name w:val="页脚 字符"/>
    <w:basedOn w:val="11"/>
    <w:link w:val="7"/>
    <w:autoRedefine/>
    <w:qFormat/>
    <w:uiPriority w:val="99"/>
    <w:rPr>
      <w:rFonts w:ascii="Calibri" w:hAnsi="Calibri" w:cs="Calibri"/>
      <w:kern w:val="2"/>
      <w:sz w:val="18"/>
      <w:szCs w:val="18"/>
    </w:rPr>
  </w:style>
  <w:style w:type="character" w:customStyle="1" w:styleId="16">
    <w:name w:val="段 字符"/>
    <w:basedOn w:val="11"/>
    <w:link w:val="14"/>
    <w:autoRedefine/>
    <w:qFormat/>
    <w:uiPriority w:val="0"/>
    <w:rPr>
      <w:rFonts w:cs="Calibri"/>
      <w:kern w:val="2"/>
      <w:sz w:val="21"/>
      <w:szCs w:val="21"/>
    </w:rPr>
  </w:style>
  <w:style w:type="paragraph" w:customStyle="1" w:styleId="17">
    <w:name w:val="正文段落，引导语"/>
    <w:basedOn w:val="14"/>
    <w:autoRedefine/>
    <w:qFormat/>
    <w:uiPriority w:val="0"/>
    <w:rPr>
      <w:rFonts w:ascii="宋体" w:hAnsi="宋体"/>
    </w:rPr>
  </w:style>
  <w:style w:type="paragraph" w:customStyle="1" w:styleId="18">
    <w:name w:val="一级条标题"/>
    <w:next w:val="14"/>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9">
    <w:name w:val="表正缩"/>
    <w:autoRedefine/>
    <w:qFormat/>
    <w:uiPriority w:val="0"/>
    <w:pPr>
      <w:framePr w:hSpace="180" w:wrap="around" w:vAnchor="text" w:hAnchor="text" w:y="1"/>
      <w:suppressOverlap/>
      <w:ind w:firstLine="200" w:firstLineChars="200"/>
      <w:jc w:val="both"/>
    </w:pPr>
    <w:rPr>
      <w:rFonts w:ascii="方正仿宋_GB2312" w:hAnsi="Times New Roman" w:eastAsia="方正仿宋_GB2312" w:cstheme="minorBidi"/>
      <w:kern w:val="2"/>
      <w:sz w:val="21"/>
      <w:szCs w:val="28"/>
      <w:lang w:val="en-US" w:eastAsia="zh-CN" w:bidi="ar-SA"/>
    </w:rPr>
  </w:style>
  <w:style w:type="paragraph" w:customStyle="1" w:styleId="2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3069</Words>
  <Characters>3202</Characters>
  <Lines>22</Lines>
  <Paragraphs>6</Paragraphs>
  <TotalTime>4</TotalTime>
  <ScaleCrop>false</ScaleCrop>
  <LinksUpToDate>false</LinksUpToDate>
  <CharactersWithSpaces>3263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标准部-刘畅</cp:lastModifiedBy>
  <cp:lastPrinted>2024-05-17T07:43:00Z</cp:lastPrinted>
  <dcterms:modified xsi:type="dcterms:W3CDTF">2026-05-11T07:46:33Z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3D008CC0A59D48CFA4246451CD583A40_13</vt:lpwstr>
  </property>
  <property fmtid="{D5CDD505-2E9C-101B-9397-08002B2CF9AE}" pid="4" name="KSOTemplateDocerSaveRecord">
    <vt:lpwstr>eyJoZGlkIjoiYzNmMjNlYzNkMzMzMDY2NzUxYWJjNGJiMmRjZDI2ODQiLCJ1c2VySWQiOiI0MzQwMTU3MTAifQ==</vt:lpwstr>
  </property>
</Properties>
</file>