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FF083">
      <w:pPr>
        <w:spacing w:before="156" w:beforeLines="50" w:after="156" w:afterLines="50" w:line="240" w:lineRule="auto"/>
        <w:jc w:val="center"/>
        <w:rPr>
          <w:rFonts w:hint="eastAsia" w:ascii="宋体" w:hAnsi="宋体" w:cs="宋体"/>
          <w:sz w:val="44"/>
          <w:szCs w:val="44"/>
          <w:lang w:eastAsia="zh-CN"/>
        </w:rPr>
      </w:pPr>
      <w:r>
        <w:rPr>
          <w:rFonts w:hint="eastAsia" w:ascii="宋体" w:hAnsi="宋体" w:eastAsia="宋体" w:cs="宋体"/>
          <w:sz w:val="44"/>
          <w:szCs w:val="44"/>
        </w:rPr>
        <w:t>《</w:t>
      </w:r>
      <w:r>
        <w:rPr>
          <w:rFonts w:hint="eastAsia" w:ascii="宋体" w:hAnsi="宋体" w:cs="宋体"/>
          <w:sz w:val="44"/>
          <w:szCs w:val="44"/>
          <w:lang w:eastAsia="zh-CN"/>
        </w:rPr>
        <w:t>电子级高纯化学品用不锈钢焊接容器技术</w:t>
      </w:r>
    </w:p>
    <w:p w14:paraId="53D57E9B">
      <w:pPr>
        <w:spacing w:before="156" w:beforeLines="50" w:after="156" w:afterLines="50" w:line="240" w:lineRule="auto"/>
        <w:jc w:val="center"/>
        <w:rPr>
          <w:rFonts w:hint="eastAsia" w:ascii="宋体" w:hAnsi="宋体" w:eastAsia="宋体" w:cs="宋体"/>
          <w:sz w:val="44"/>
          <w:szCs w:val="44"/>
        </w:rPr>
      </w:pPr>
      <w:r>
        <w:rPr>
          <w:rFonts w:hint="eastAsia" w:ascii="宋体" w:hAnsi="宋体" w:cs="宋体"/>
          <w:sz w:val="44"/>
          <w:szCs w:val="44"/>
          <w:lang w:eastAsia="zh-CN"/>
        </w:rPr>
        <w:t>规范</w:t>
      </w:r>
      <w:r>
        <w:rPr>
          <w:rFonts w:hint="eastAsia" w:ascii="宋体" w:hAnsi="宋体" w:eastAsia="宋体" w:cs="宋体"/>
          <w:sz w:val="44"/>
          <w:szCs w:val="44"/>
        </w:rPr>
        <w:t>》</w:t>
      </w:r>
    </w:p>
    <w:p w14:paraId="6194D0B5">
      <w:pPr>
        <w:spacing w:before="156" w:beforeLines="50" w:after="156" w:afterLines="50" w:line="240" w:lineRule="auto"/>
        <w:jc w:val="center"/>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（征求意见稿）</w:t>
      </w:r>
    </w:p>
    <w:p w14:paraId="4D6DE6E4">
      <w:pPr>
        <w:spacing w:before="156" w:beforeLines="50" w:after="156" w:afterLines="50" w:line="240" w:lineRule="auto"/>
        <w:jc w:val="center"/>
        <w:rPr>
          <w:rFonts w:hint="eastAsia" w:ascii="Times New Roman" w:hAnsi="Times New Roman" w:eastAsia="黑体"/>
          <w:sz w:val="32"/>
          <w:szCs w:val="32"/>
          <w:lang w:eastAsia="zh-CN"/>
        </w:rPr>
      </w:pPr>
      <w:r>
        <w:rPr>
          <w:rFonts w:hint="eastAsia" w:ascii="Times New Roman" w:hAnsi="Times New Roman" w:eastAsia="黑体"/>
          <w:sz w:val="32"/>
          <w:szCs w:val="32"/>
          <w:lang w:val="en-US" w:eastAsia="zh-CN"/>
        </w:rPr>
        <w:t>编制说明</w:t>
      </w:r>
    </w:p>
    <w:p w14:paraId="134EB349">
      <w:pPr>
        <w:numPr>
          <w:ilvl w:val="0"/>
          <w:numId w:val="3"/>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工作简况</w:t>
      </w:r>
    </w:p>
    <w:p w14:paraId="4FD900D8">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（一）任务来源</w:t>
      </w:r>
    </w:p>
    <w:p w14:paraId="3CAA0B36">
      <w:pPr>
        <w:pStyle w:val="7"/>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本项目根据中国欧洲经济技术合作协会</w:t>
      </w:r>
      <w:r>
        <w:rPr>
          <w:rFonts w:hint="eastAsia" w:ascii="宋体" w:hAnsi="宋体" w:eastAsia="宋体" w:cs="宋体"/>
          <w:highlight w:val="none"/>
          <w:lang w:val="en-US"/>
        </w:rPr>
        <w:t>20</w:t>
      </w:r>
      <w:r>
        <w:rPr>
          <w:rFonts w:hint="eastAsia" w:ascii="宋体" w:hAnsi="宋体" w:eastAsia="宋体" w:cs="宋体"/>
          <w:highlight w:val="none"/>
          <w:lang w:val="en-US" w:eastAsia="zh-CN"/>
        </w:rPr>
        <w:t>2</w:t>
      </w:r>
      <w:r>
        <w:rPr>
          <w:rFonts w:hint="eastAsia" w:ascii="宋体" w:hAnsi="宋体" w:cs="宋体"/>
          <w:highlight w:val="none"/>
          <w:lang w:val="en-US" w:eastAsia="zh-CN"/>
        </w:rPr>
        <w:t>6</w:t>
      </w:r>
      <w:r>
        <w:rPr>
          <w:rFonts w:hint="eastAsia" w:ascii="宋体" w:hAnsi="宋体" w:eastAsia="宋体" w:cs="宋体"/>
          <w:highlight w:val="none"/>
          <w:lang w:val="en-US"/>
        </w:rPr>
        <w:t>年团</w:t>
      </w:r>
      <w:r>
        <w:rPr>
          <w:rFonts w:hint="eastAsia" w:ascii="宋体" w:hAnsi="宋体" w:eastAsia="宋体" w:cs="宋体"/>
          <w:lang w:val="en-US"/>
        </w:rPr>
        <w:t>体标准制定计划</w:t>
      </w:r>
      <w:r>
        <w:rPr>
          <w:rFonts w:hint="eastAsia" w:ascii="宋体" w:hAnsi="宋体" w:eastAsia="宋体" w:cs="宋体"/>
          <w:highlight w:val="none"/>
          <w:lang w:val="en-US"/>
        </w:rPr>
        <w:t>，</w:t>
      </w:r>
      <w:r>
        <w:rPr>
          <w:rFonts w:hint="eastAsia" w:ascii="宋体" w:hAnsi="宋体" w:eastAsia="宋体" w:cs="宋体"/>
          <w:lang w:val="en-US"/>
        </w:rPr>
        <w:t>项目名称为《</w:t>
      </w:r>
      <w:r>
        <w:rPr>
          <w:rFonts w:hint="eastAsia" w:ascii="宋体" w:hAnsi="宋体" w:cs="宋体"/>
          <w:lang w:val="en-US" w:eastAsia="zh-CN"/>
        </w:rPr>
        <w:t>电子级高纯化学品用不锈钢焊接容器技术规范</w:t>
      </w:r>
      <w:r>
        <w:rPr>
          <w:rFonts w:hint="eastAsia" w:ascii="宋体" w:hAnsi="宋体" w:eastAsia="宋体" w:cs="宋体"/>
          <w:lang w:val="en-US"/>
        </w:rPr>
        <w:t>》</w:t>
      </w:r>
      <w:r>
        <w:rPr>
          <w:rFonts w:hint="eastAsia" w:ascii="宋体" w:hAnsi="宋体" w:cs="宋体"/>
          <w:lang w:val="en-US" w:eastAsia="zh-CN"/>
        </w:rPr>
        <w:t>项目计划号T/CEATEC-2026-122</w:t>
      </w:r>
      <w:r>
        <w:rPr>
          <w:rFonts w:hint="eastAsia" w:ascii="宋体" w:hAnsi="宋体" w:eastAsia="宋体" w:cs="宋体"/>
          <w:lang w:val="en-US"/>
        </w:rPr>
        <w:t>的任务而进行制订。</w:t>
      </w:r>
    </w:p>
    <w:p w14:paraId="50A1A6A1">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（二）起草单位及主要起草人</w:t>
      </w:r>
    </w:p>
    <w:p w14:paraId="166DD15D">
      <w:pPr>
        <w:pStyle w:val="4"/>
        <w:numPr>
          <w:ilvl w:val="0"/>
          <w:numId w:val="0"/>
        </w:numPr>
        <w:spacing w:line="360" w:lineRule="auto"/>
        <w:ind w:firstLine="480" w:firstLineChars="200"/>
        <w:rPr>
          <w:rFonts w:hint="eastAsia"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本文件起草单位：江苏容导半导体科技有限公司</w:t>
      </w:r>
      <w:r>
        <w:rPr>
          <w:rFonts w:hint="eastAsia" w:ascii="Times New Roman" w:hAnsi="Times New Roman" w:cs="Times New Roman"/>
          <w:b w:val="0"/>
          <w:bCs w:val="0"/>
          <w:color w:val="auto"/>
          <w:sz w:val="24"/>
          <w:szCs w:val="24"/>
          <w:lang w:eastAsia="zh-CN"/>
        </w:rPr>
        <w:t>、</w:t>
      </w:r>
      <w:r>
        <w:rPr>
          <w:rFonts w:hint="eastAsia" w:ascii="Times New Roman" w:hAnsi="Times New Roman" w:cs="Times New Roman"/>
          <w:b w:val="0"/>
          <w:bCs w:val="0"/>
          <w:color w:val="auto"/>
          <w:sz w:val="24"/>
          <w:szCs w:val="24"/>
        </w:rPr>
        <w:t>宣城品宙洁净科技有限公司</w:t>
      </w:r>
      <w:r>
        <w:rPr>
          <w:rFonts w:hint="eastAsia" w:ascii="Times New Roman" w:hAnsi="Times New Roman" w:cs="Times New Roman"/>
          <w:b w:val="0"/>
          <w:bCs w:val="0"/>
          <w:color w:val="auto"/>
          <w:sz w:val="24"/>
          <w:szCs w:val="24"/>
          <w:lang w:eastAsia="zh-CN"/>
        </w:rPr>
        <w:t>、</w:t>
      </w:r>
      <w:r>
        <w:rPr>
          <w:rFonts w:hint="eastAsia" w:ascii="Times New Roman" w:hAnsi="Times New Roman" w:cs="Times New Roman"/>
          <w:b w:val="0"/>
          <w:bCs w:val="0"/>
          <w:color w:val="auto"/>
          <w:sz w:val="24"/>
          <w:szCs w:val="24"/>
        </w:rPr>
        <w:t>常州容导精密装备有限公司</w:t>
      </w:r>
      <w:r>
        <w:rPr>
          <w:rFonts w:hint="eastAsia" w:ascii="Times New Roman" w:hAnsi="Times New Roman" w:cs="Times New Roman"/>
          <w:b w:val="0"/>
          <w:bCs w:val="0"/>
          <w:color w:val="auto"/>
          <w:sz w:val="24"/>
          <w:szCs w:val="24"/>
          <w:lang w:eastAsia="zh-CN"/>
        </w:rPr>
        <w:t>、</w:t>
      </w:r>
      <w:r>
        <w:rPr>
          <w:rFonts w:hint="eastAsia" w:ascii="Times New Roman" w:hAnsi="Times New Roman" w:cs="Times New Roman"/>
          <w:b w:val="0"/>
          <w:bCs w:val="0"/>
          <w:color w:val="auto"/>
          <w:sz w:val="24"/>
          <w:szCs w:val="24"/>
        </w:rPr>
        <w:t>浙江镇田机械有限公司</w:t>
      </w:r>
      <w:r>
        <w:rPr>
          <w:rFonts w:hint="eastAsia" w:ascii="Times New Roman" w:hAnsi="Times New Roman" w:cs="Times New Roman"/>
          <w:b w:val="0"/>
          <w:bCs w:val="0"/>
          <w:color w:val="auto"/>
          <w:sz w:val="24"/>
          <w:szCs w:val="24"/>
          <w:lang w:eastAsia="zh-CN"/>
        </w:rPr>
        <w:t>、</w:t>
      </w:r>
      <w:r>
        <w:rPr>
          <w:rFonts w:hint="eastAsia" w:ascii="Times New Roman" w:hAnsi="Times New Roman" w:cs="Times New Roman"/>
          <w:b w:val="0"/>
          <w:bCs w:val="0"/>
          <w:color w:val="auto"/>
          <w:sz w:val="24"/>
          <w:szCs w:val="24"/>
        </w:rPr>
        <w:t>昆山新莱洁净应用材料股份有限公司。</w:t>
      </w:r>
    </w:p>
    <w:p w14:paraId="718A9020">
      <w:pPr>
        <w:pStyle w:val="4"/>
        <w:numPr>
          <w:ilvl w:val="0"/>
          <w:numId w:val="0"/>
        </w:numPr>
        <w:spacing w:line="360" w:lineRule="auto"/>
        <w:ind w:firstLine="480" w:firstLineChars="200"/>
        <w:rPr>
          <w:rFonts w:hint="eastAsia"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本文件</w:t>
      </w:r>
      <w:r>
        <w:rPr>
          <w:rFonts w:hint="eastAsia" w:ascii="Times New Roman" w:hAnsi="Times New Roman" w:cs="Times New Roman"/>
          <w:b w:val="0"/>
          <w:bCs w:val="0"/>
          <w:color w:val="auto"/>
          <w:sz w:val="24"/>
          <w:szCs w:val="24"/>
          <w:lang w:val="en-US" w:eastAsia="zh-CN"/>
        </w:rPr>
        <w:t>主要</w:t>
      </w:r>
      <w:r>
        <w:rPr>
          <w:rFonts w:hint="eastAsia" w:ascii="Times New Roman" w:hAnsi="Times New Roman" w:cs="Times New Roman"/>
          <w:b w:val="0"/>
          <w:bCs w:val="0"/>
          <w:color w:val="auto"/>
          <w:sz w:val="24"/>
          <w:szCs w:val="24"/>
        </w:rPr>
        <w:t>起草人：刘民、陆翔、董兴玉、王国栋、张真真、项光武、阳章、王滨、徐先流、范志旻。</w:t>
      </w:r>
    </w:p>
    <w:p w14:paraId="58F93C67">
      <w:pPr>
        <w:pStyle w:val="4"/>
        <w:numPr>
          <w:ilvl w:val="0"/>
          <w:numId w:val="0"/>
        </w:numPr>
        <w:spacing w:line="360" w:lineRule="auto"/>
        <w:ind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lang w:val="en-US" w:eastAsia="zh-CN"/>
          <w14:textFill>
            <w14:solidFill>
              <w14:schemeClr w14:val="tx1"/>
            </w14:solidFill>
          </w14:textFill>
        </w:rPr>
        <w:t>三</w:t>
      </w: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标准制定目的和意义</w:t>
      </w:r>
    </w:p>
    <w:p w14:paraId="646388F3">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sz w:val="24"/>
          <w:szCs w:val="24"/>
        </w:rPr>
      </w:pPr>
      <w:r>
        <w:rPr>
          <w:rFonts w:hint="eastAsia"/>
          <w:sz w:val="24"/>
          <w:szCs w:val="24"/>
        </w:rPr>
        <w:t>从产业角度分析，制定《</w:t>
      </w:r>
      <w:r>
        <w:rPr>
          <w:rFonts w:hint="eastAsia"/>
          <w:sz w:val="24"/>
          <w:szCs w:val="24"/>
          <w:lang w:eastAsia="zh-CN"/>
        </w:rPr>
        <w:t>电子级高纯化学品用不锈钢焊接容器技术规范</w:t>
      </w:r>
      <w:r>
        <w:rPr>
          <w:rFonts w:hint="eastAsia"/>
          <w:sz w:val="24"/>
          <w:szCs w:val="24"/>
        </w:rPr>
        <w:t>》团体标准的目的和意义主要体现在以下几个方面：</w:t>
      </w:r>
    </w:p>
    <w:p w14:paraId="53F75B36">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目的</w:t>
      </w:r>
    </w:p>
    <w:p w14:paraId="2F157EFF">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eastAsia="宋体"/>
          <w:sz w:val="24"/>
          <w:szCs w:val="24"/>
          <w:lang w:eastAsia="zh-CN"/>
        </w:rPr>
      </w:pPr>
      <w:r>
        <w:rPr>
          <w:rFonts w:hint="eastAsia"/>
          <w:sz w:val="24"/>
          <w:szCs w:val="24"/>
          <w:lang w:val="en-US" w:eastAsia="zh-CN"/>
        </w:rPr>
        <w:t>制定《电子级高纯化学品用不锈钢焊接容器技术规范》的核心目的，是规范电子级高纯化学品储存、运输及使用过程中专用不锈钢焊接容器的设计、制造、检验及运维全流程要求，破解当前行业发展痛点。电子级高纯化学品是半导体、光伏等高科技领域的核心原料，对储存运输容器的高洁净度、低吸附、耐腐蚀、零泄漏有着严苛要求，但目前行业缺乏专属专项标准，现有通用不锈钢容器标准无法适配其特殊使用需求，导致容器材质选用混乱、焊接质量管控不严、内壁处理不规范等问题，易造成化学品纯度污染、泄漏等安全隐患。本标准旨在建立统一的术语定义、材质要求、焊接工艺、洁净处理、检验方法及安全管控准则，明确容器性能指标与判定依据，引导企业依规生产，为市场监管、检验检测提供统一技术支撑，保障电子级高纯化学品安全稳定供应，适配相关高科技产业发展需求</w:t>
      </w:r>
      <w:r>
        <w:rPr>
          <w:rFonts w:hint="eastAsia"/>
          <w:sz w:val="24"/>
          <w:szCs w:val="24"/>
          <w:lang w:eastAsia="zh-CN"/>
        </w:rPr>
        <w:t>。</w:t>
      </w:r>
    </w:p>
    <w:p w14:paraId="154E3FC0">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意义</w:t>
      </w:r>
    </w:p>
    <w:p w14:paraId="3EBF1492">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制定本标准具有重要的产业价值、安全意义与战略意义，契合我国电子信息产业高质量发展与产业链自主可控的发展需求。电子级高纯化学品用不锈钢焊接容器作为核心配套设施，其质量直接关系到半导体等高端制造业的生产安全、产品品质与技术升级，标准的出台可补齐该领域专项标准空白，规范行业发展秩序，减少因容器质量不达标导致的生产事故、产品报废等损失。同时，通过统一技术要求，可引导企业优化生产工艺，提升容器制造的精细化、标准化水平，推动容器材质、焊接技术及洁净处理等相关配套产业升级，打破高端容器依赖进口的局面，增强国内相关产品的市场竞争力。此外，本标准可实现与国际先进标准的技术衔接，提升我国电子级高纯化学品配套领域的技术话语权，为我国半导体、光伏等高科技产业高质量发展筑牢基础，助力相关产业突破技术瓶颈、实现自主可控。</w:t>
      </w:r>
    </w:p>
    <w:p w14:paraId="7154C64F">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综上，制定《</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电子级高纯化学品用不锈钢焊接容器技术规范</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》团体标准对于促进产业健康发展、推动技术创新、保障消费者权益以及增强行业竞争力等方面都具有重要意义。</w:t>
      </w:r>
    </w:p>
    <w:p w14:paraId="1A56508C">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（四）主要工作过程</w:t>
      </w:r>
    </w:p>
    <w:p w14:paraId="43685BE8">
      <w:pPr>
        <w:pStyle w:val="7"/>
        <w:widowControl/>
        <w:spacing w:beforeAutospacing="0" w:afterAutospacing="0" w:line="520" w:lineRule="exact"/>
        <w:ind w:firstLine="48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t>1.前期准备工作</w:t>
      </w:r>
    </w:p>
    <w:p w14:paraId="39DEC089">
      <w:pPr>
        <w:pStyle w:val="7"/>
        <w:widowControl/>
        <w:spacing w:beforeAutospacing="0" w:afterAutospacing="0" w:line="520" w:lineRule="exact"/>
        <w:ind w:firstLine="48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t>项目立项前，标准编制小组查阅、研读相关国内外文献，广泛搜集相关的材料。同时，标准编制小组安排相关人员，多次与相关行业人员进行调研、交流，广泛征求标准制定方面的意见和建议。</w:t>
      </w:r>
    </w:p>
    <w:p w14:paraId="1011C0BA">
      <w:pPr>
        <w:pStyle w:val="7"/>
        <w:widowControl/>
        <w:spacing w:beforeAutospacing="0" w:afterAutospacing="0" w:line="520" w:lineRule="exact"/>
        <w:ind w:firstLine="480" w:firstLineChars="200"/>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28日</w:t>
      </w:r>
      <w:r>
        <w:rPr>
          <w:rFonts w:hint="eastAsia" w:ascii="宋体" w:hAnsi="宋体" w:eastAsia="宋体" w:cs="宋体"/>
          <w:color w:val="000000" w:themeColor="text1"/>
          <w:highlight w:val="none"/>
          <w:lang w:val="en-US" w:eastAsia="zh-CN"/>
          <w14:textFill>
            <w14:solidFill>
              <w14:schemeClr w14:val="tx1"/>
            </w14:solidFill>
          </w14:textFill>
        </w:rPr>
        <w:t>本团体标准由中国欧洲经济技术合作协会正式立项，立项名称为：</w:t>
      </w:r>
      <w:r>
        <w:rPr>
          <w:rFonts w:hint="eastAsia" w:ascii="宋体" w:hAnsi="宋体" w:eastAsia="宋体" w:cs="宋体"/>
          <w:lang w:val="en-US"/>
        </w:rPr>
        <w:t>《</w:t>
      </w:r>
      <w:r>
        <w:rPr>
          <w:rFonts w:hint="eastAsia" w:ascii="宋体" w:hAnsi="宋体" w:cs="宋体"/>
          <w:lang w:val="en-US" w:eastAsia="zh-CN"/>
        </w:rPr>
        <w:t>电子级高纯化学品用不锈钢焊接容器技术规范</w:t>
      </w:r>
      <w:r>
        <w:rPr>
          <w:rFonts w:hint="eastAsia" w:ascii="宋体" w:hAnsi="宋体" w:eastAsia="宋体" w:cs="宋体"/>
          <w:lang w:val="en-US"/>
        </w:rPr>
        <w:t>》</w:t>
      </w:r>
      <w:r>
        <w:rPr>
          <w:rFonts w:hint="eastAsia" w:ascii="宋体" w:hAnsi="宋体" w:eastAsia="宋体" w:cs="宋体"/>
          <w:color w:val="000000" w:themeColor="text1"/>
          <w:highlight w:val="none"/>
          <w:lang w:val="en-US" w:eastAsia="zh-CN"/>
          <w14:textFill>
            <w14:solidFill>
              <w14:schemeClr w14:val="tx1"/>
            </w14:solidFill>
          </w14:textFill>
        </w:rPr>
        <w:t>。</w:t>
      </w:r>
    </w:p>
    <w:p w14:paraId="50B22881">
      <w:pPr>
        <w:pStyle w:val="7"/>
        <w:widowControl/>
        <w:spacing w:beforeAutospacing="0" w:afterAutospacing="0" w:line="520" w:lineRule="exact"/>
        <w:ind w:firstLine="480" w:firstLineChars="200"/>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2.标准起草过程</w:t>
      </w:r>
    </w:p>
    <w:p w14:paraId="2442C1C6">
      <w:pPr>
        <w:pStyle w:val="7"/>
        <w:widowControl/>
        <w:spacing w:beforeAutospacing="0" w:afterAutospacing="0" w:line="520" w:lineRule="exact"/>
        <w:ind w:firstLine="480" w:firstLineChars="200"/>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团体标准立项通知公示后，标准编制小组首先组织了标准制定工作会议，各编写人员根据工作计划分工和编写要求开展了相关工作。在标准起草期间，编制小组主编单位及参编单位组织了数次内部研讨会和专家咨询会，经过多次修改，于</w:t>
      </w:r>
      <w:r>
        <w:rPr>
          <w:rFonts w:hint="eastAsia" w:ascii="宋体" w:hAnsi="宋体" w:eastAsia="宋体" w:cs="宋体"/>
          <w:color w:val="000000" w:themeColor="text1"/>
          <w:highlight w:val="none"/>
          <w:lang w:val="en-US"/>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初完成了标准初稿及编制说明的撰写工作。</w:t>
      </w:r>
    </w:p>
    <w:p w14:paraId="1EA2EC11">
      <w:pPr>
        <w:numPr>
          <w:ilvl w:val="0"/>
          <w:numId w:val="3"/>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标准编制原则和依据</w:t>
      </w:r>
    </w:p>
    <w:p w14:paraId="027E0F0D">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（一）编制原则</w:t>
      </w:r>
    </w:p>
    <w:p w14:paraId="2F121084">
      <w:pPr>
        <w:pStyle w:val="4"/>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标准起草小组在编制标准过程中，以国家、行业现有的标准为制订基础，结合我国目前的行业现状，按照GB/T 1.1—2020《标准化工作导则 第1部分：标准化文件的结构和起草规则》的规定及相关要求编制。</w:t>
      </w:r>
    </w:p>
    <w:p w14:paraId="4B758C31">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（二）标准主要内容与确定依据</w:t>
      </w:r>
    </w:p>
    <w:p w14:paraId="1E2069BD">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1.标准主要内容</w:t>
      </w:r>
    </w:p>
    <w:p w14:paraId="066FC14A">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 1范围</w:t>
      </w:r>
    </w:p>
    <w:p w14:paraId="2D2DB0DC">
      <w:pPr>
        <w:pStyle w:val="4"/>
        <w:spacing w:line="360" w:lineRule="auto"/>
        <w:ind w:firstLine="480" w:firstLineChars="20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本文件适用于电子级高纯化学品用不锈钢焊接容器。</w:t>
      </w:r>
    </w:p>
    <w:p w14:paraId="5673A44B">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 规范性引用文件</w:t>
      </w:r>
    </w:p>
    <w:p w14:paraId="00BA0D1E">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GB/T 150.3  压力容器  第3部分：设计</w:t>
      </w:r>
    </w:p>
    <w:p w14:paraId="5F409882">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GB/T 4334  金属和合金的腐蚀  不锈钢晶间腐蚀试验方法</w:t>
      </w:r>
    </w:p>
    <w:p w14:paraId="5265801E">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NB/T 47013.2  承压设备无损检测  第2部分：射线检测</w:t>
      </w:r>
    </w:p>
    <w:p w14:paraId="494017D7">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NB/T 47013.5  承压设备无损检测  第5部分：渗透检测</w:t>
      </w:r>
    </w:p>
    <w:p w14:paraId="2A49A012">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1.3 术语和定义</w:t>
      </w:r>
    </w:p>
    <w:p w14:paraId="0CF61620">
      <w:pPr>
        <w:pStyle w:val="22"/>
        <w:keepNext w:val="0"/>
        <w:keepLines w:val="0"/>
        <w:pageBreakBefore w:val="0"/>
        <w:widowControl/>
        <w:kinsoku/>
        <w:wordWrap/>
        <w:overflowPunct/>
        <w:topLinePunct w:val="0"/>
        <w:autoSpaceDE w:val="0"/>
        <w:autoSpaceDN w:val="0"/>
        <w:bidi w:val="0"/>
        <w:adjustRightInd/>
        <w:snapToGrid/>
        <w:spacing w:beforeLines="0" w:afterLines="0" w:line="360" w:lineRule="auto"/>
        <w:ind w:firstLine="36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电子级高纯化学品 electronic grade high-purity chemicals</w:t>
      </w:r>
    </w:p>
    <w:p w14:paraId="4FBCAAD1">
      <w:pPr>
        <w:pStyle w:val="22"/>
        <w:keepNext w:val="0"/>
        <w:keepLines w:val="0"/>
        <w:pageBreakBefore w:val="0"/>
        <w:widowControl/>
        <w:kinsoku/>
        <w:wordWrap/>
        <w:overflowPunct/>
        <w:topLinePunct w:val="0"/>
        <w:autoSpaceDE w:val="0"/>
        <w:autoSpaceDN w:val="0"/>
        <w:bidi w:val="0"/>
        <w:adjustRightInd/>
        <w:snapToGrid/>
        <w:spacing w:beforeLines="0" w:afterLines="0" w:line="360" w:lineRule="auto"/>
        <w:ind w:firstLine="36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指金属杂质含量低于1 mg/L、粒径不小于0.1 μm的颗粒物含量少于5个/升的化学品。</w:t>
      </w:r>
    </w:p>
    <w:p w14:paraId="74FE35B0">
      <w:pPr>
        <w:pStyle w:val="22"/>
        <w:keepNext w:val="0"/>
        <w:keepLines w:val="0"/>
        <w:pageBreakBefore w:val="0"/>
        <w:widowControl/>
        <w:kinsoku/>
        <w:wordWrap/>
        <w:overflowPunct/>
        <w:topLinePunct w:val="0"/>
        <w:autoSpaceDE w:val="0"/>
        <w:autoSpaceDN w:val="0"/>
        <w:bidi w:val="0"/>
        <w:adjustRightInd/>
        <w:snapToGrid/>
        <w:spacing w:beforeLines="0" w:afterLines="0" w:line="360" w:lineRule="auto"/>
        <w:ind w:firstLine="36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电解抛光 electropolishing</w:t>
      </w:r>
    </w:p>
    <w:p w14:paraId="3E7D214C">
      <w:pPr>
        <w:pStyle w:val="22"/>
        <w:keepNext w:val="0"/>
        <w:keepLines w:val="0"/>
        <w:pageBreakBefore w:val="0"/>
        <w:widowControl/>
        <w:kinsoku/>
        <w:wordWrap/>
        <w:overflowPunct/>
        <w:topLinePunct w:val="0"/>
        <w:autoSpaceDE w:val="0"/>
        <w:autoSpaceDN w:val="0"/>
        <w:bidi w:val="0"/>
        <w:adjustRightInd/>
        <w:snapToGrid/>
        <w:spacing w:beforeLines="0" w:afterLines="0" w:line="360" w:lineRule="auto"/>
        <w:ind w:firstLine="36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一种电化学表面处理过程，通过选择性地溶解金属表面微观凸起部分，使其变得光滑、平整，并形成一层致密的钝化膜，以提高耐腐蚀性和洁净度。</w:t>
      </w:r>
    </w:p>
    <w:p w14:paraId="30DC9632">
      <w:pPr>
        <w:pStyle w:val="22"/>
        <w:keepNext w:val="0"/>
        <w:keepLines w:val="0"/>
        <w:pageBreakBefore w:val="0"/>
        <w:widowControl/>
        <w:kinsoku/>
        <w:wordWrap/>
        <w:overflowPunct/>
        <w:topLinePunct w:val="0"/>
        <w:autoSpaceDE w:val="0"/>
        <w:autoSpaceDN w:val="0"/>
        <w:bidi w:val="0"/>
        <w:adjustRightInd/>
        <w:snapToGrid/>
        <w:spacing w:beforeLines="0" w:afterLines="0" w:line="360" w:lineRule="auto"/>
        <w:ind w:firstLine="36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钝化处理 passivation treatment</w:t>
      </w:r>
    </w:p>
    <w:p w14:paraId="0DDEBE29">
      <w:pPr>
        <w:pStyle w:val="22"/>
        <w:keepNext w:val="0"/>
        <w:keepLines w:val="0"/>
        <w:pageBreakBefore w:val="0"/>
        <w:widowControl/>
        <w:kinsoku/>
        <w:wordWrap/>
        <w:overflowPunct/>
        <w:topLinePunct w:val="0"/>
        <w:autoSpaceDE w:val="0"/>
        <w:autoSpaceDN w:val="0"/>
        <w:bidi w:val="0"/>
        <w:adjustRightInd/>
        <w:snapToGrid/>
        <w:spacing w:beforeLines="0" w:afterLines="0" w:line="360" w:lineRule="auto"/>
        <w:ind w:firstLine="36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通过化学方法（通常使用硝酸或柠檬酸等溶液）去除不锈钢表面游离的铁离子，促进铬氧化物保护膜的形成，以增强其耐腐蚀性的工艺。</w:t>
      </w:r>
    </w:p>
    <w:p w14:paraId="6F32EA27">
      <w:pPr>
        <w:pStyle w:val="22"/>
        <w:keepNext w:val="0"/>
        <w:keepLines w:val="0"/>
        <w:pageBreakBefore w:val="0"/>
        <w:widowControl/>
        <w:kinsoku/>
        <w:wordWrap/>
        <w:overflowPunct/>
        <w:topLinePunct w:val="0"/>
        <w:autoSpaceDE w:val="0"/>
        <w:autoSpaceDN w:val="0"/>
        <w:bidi w:val="0"/>
        <w:adjustRightInd/>
        <w:snapToGrid/>
        <w:spacing w:beforeLines="0" w:afterLines="0" w:line="360" w:lineRule="auto"/>
        <w:ind w:firstLine="36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洁净度 cleanliness</w:t>
      </w:r>
    </w:p>
    <w:p w14:paraId="6DF06EEE">
      <w:pPr>
        <w:pStyle w:val="22"/>
        <w:keepNext w:val="0"/>
        <w:keepLines w:val="0"/>
        <w:pageBreakBefore w:val="0"/>
        <w:widowControl/>
        <w:kinsoku/>
        <w:wordWrap/>
        <w:overflowPunct/>
        <w:topLinePunct w:val="0"/>
        <w:autoSpaceDE w:val="0"/>
        <w:autoSpaceDN w:val="0"/>
        <w:bidi w:val="0"/>
        <w:adjustRightInd/>
        <w:snapToGrid/>
        <w:spacing w:beforeLines="0" w:afterLines="0" w:line="360" w:lineRule="auto"/>
        <w:ind w:firstLine="36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容器内部特定尺寸以上的颗粒物数量，是衡量容器对化学品污染程度的关键指标。</w:t>
      </w:r>
    </w:p>
    <w:p w14:paraId="28396E05">
      <w:pPr>
        <w:pStyle w:val="4"/>
        <w:spacing w:line="360" w:lineRule="auto"/>
        <w:ind w:firstLine="480" w:firstLineChars="20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1.4 </w:t>
      </w:r>
      <w:r>
        <w:rPr>
          <w:rFonts w:hint="eastAsia" w:ascii="宋体" w:hAnsi="宋体" w:cs="宋体"/>
          <w:b w:val="0"/>
          <w:bCs w:val="0"/>
          <w:color w:val="auto"/>
          <w:sz w:val="24"/>
          <w:szCs w:val="24"/>
          <w:lang w:val="en-US" w:eastAsia="zh-CN"/>
        </w:rPr>
        <w:t>材料要求</w:t>
      </w:r>
    </w:p>
    <w:p w14:paraId="6FCAEAE6">
      <w:pPr>
        <w:pStyle w:val="4"/>
        <w:spacing w:line="360" w:lineRule="auto"/>
        <w:ind w:firstLine="480" w:firstLineChars="200"/>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对产品所用材料进行规定。</w:t>
      </w:r>
    </w:p>
    <w:p w14:paraId="2A689905">
      <w:pPr>
        <w:pStyle w:val="4"/>
        <w:spacing w:line="360" w:lineRule="auto"/>
        <w:ind w:firstLine="480" w:firstLineChars="20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1.5 </w:t>
      </w:r>
      <w:r>
        <w:rPr>
          <w:rFonts w:hint="eastAsia" w:ascii="宋体" w:hAnsi="宋体" w:cs="宋体"/>
          <w:b w:val="0"/>
          <w:bCs w:val="0"/>
          <w:color w:val="auto"/>
          <w:sz w:val="24"/>
          <w:szCs w:val="24"/>
          <w:lang w:val="en-US" w:eastAsia="zh-CN"/>
        </w:rPr>
        <w:t>设计</w:t>
      </w:r>
    </w:p>
    <w:p w14:paraId="5D583C23">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对产品设计进行说明。</w:t>
      </w:r>
    </w:p>
    <w:p w14:paraId="6B93CC0F">
      <w:pPr>
        <w:pStyle w:val="4"/>
        <w:spacing w:line="360" w:lineRule="auto"/>
        <w:ind w:firstLine="480" w:firstLineChars="20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1.6 </w:t>
      </w:r>
      <w:r>
        <w:rPr>
          <w:rFonts w:hint="eastAsia" w:ascii="宋体" w:hAnsi="宋体" w:cs="宋体"/>
          <w:b w:val="0"/>
          <w:bCs w:val="0"/>
          <w:color w:val="auto"/>
          <w:sz w:val="24"/>
          <w:szCs w:val="24"/>
          <w:lang w:val="en-US" w:eastAsia="zh-CN"/>
        </w:rPr>
        <w:t>制造</w:t>
      </w:r>
    </w:p>
    <w:p w14:paraId="759EB7FF">
      <w:pPr>
        <w:pStyle w:val="4"/>
        <w:spacing w:line="360" w:lineRule="auto"/>
        <w:ind w:firstLine="480" w:firstLineChars="200"/>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对产品制造环节进行规定</w:t>
      </w:r>
    </w:p>
    <w:p w14:paraId="2570F7AA">
      <w:pPr>
        <w:pStyle w:val="4"/>
        <w:spacing w:line="360" w:lineRule="auto"/>
        <w:ind w:firstLine="480" w:firstLineChars="200"/>
        <w:rPr>
          <w:rFonts w:hint="default" w:ascii="宋体" w:hAnsi="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eastAsia" w:ascii="宋体" w:hAnsi="宋体" w:cs="宋体"/>
          <w:b w:val="0"/>
          <w:bCs w:val="0"/>
          <w:color w:val="auto"/>
          <w:sz w:val="24"/>
          <w:szCs w:val="24"/>
          <w:lang w:val="en-US" w:eastAsia="zh-CN"/>
        </w:rPr>
        <w:t>7</w:t>
      </w:r>
      <w:r>
        <w:rPr>
          <w:rFonts w:hint="eastAsia" w:ascii="宋体" w:hAnsi="宋体" w:eastAsia="宋体" w:cs="宋体"/>
          <w:b w:val="0"/>
          <w:bCs w:val="0"/>
          <w:color w:val="auto"/>
          <w:sz w:val="24"/>
          <w:szCs w:val="24"/>
          <w:lang w:val="en-US" w:eastAsia="zh-CN"/>
        </w:rPr>
        <w:t xml:space="preserve"> </w:t>
      </w:r>
      <w:r>
        <w:rPr>
          <w:rFonts w:hint="eastAsia" w:ascii="宋体" w:hAnsi="宋体" w:cs="宋体"/>
          <w:b w:val="0"/>
          <w:bCs w:val="0"/>
          <w:color w:val="auto"/>
          <w:sz w:val="24"/>
          <w:szCs w:val="24"/>
          <w:lang w:val="en-US" w:eastAsia="zh-CN"/>
        </w:rPr>
        <w:t>试验方法</w:t>
      </w:r>
    </w:p>
    <w:p w14:paraId="10C6212A">
      <w:pPr>
        <w:pStyle w:val="4"/>
        <w:spacing w:line="360" w:lineRule="auto"/>
        <w:ind w:firstLine="480" w:firstLineChars="200"/>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对电子级高纯化学品用不锈钢焊接容器试验方法进行规定。</w:t>
      </w:r>
    </w:p>
    <w:p w14:paraId="508C94F8">
      <w:pPr>
        <w:pStyle w:val="4"/>
        <w:spacing w:line="360" w:lineRule="auto"/>
        <w:ind w:firstLine="480" w:firstLineChars="200"/>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1.8 包装、标志和随行文件</w:t>
      </w:r>
    </w:p>
    <w:p w14:paraId="36200762">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sz w:val="24"/>
          <w:szCs w:val="24"/>
          <w:lang w:val="en-US" w:eastAsia="zh-CN"/>
        </w:rPr>
      </w:pPr>
      <w:r>
        <w:rPr>
          <w:rFonts w:hint="eastAsia"/>
          <w:sz w:val="24"/>
          <w:szCs w:val="24"/>
          <w:lang w:val="en-US" w:eastAsia="zh-CN"/>
        </w:rPr>
        <w:t>对电子级高纯化学品用不锈钢焊接容器的包装、标志和随行文件</w:t>
      </w:r>
      <w:bookmarkStart w:id="0" w:name="_GoBack"/>
      <w:bookmarkEnd w:id="0"/>
      <w:r>
        <w:rPr>
          <w:rFonts w:hint="eastAsia"/>
          <w:sz w:val="24"/>
          <w:szCs w:val="24"/>
          <w:lang w:val="en-US" w:eastAsia="zh-CN"/>
        </w:rPr>
        <w:t>进行规定。</w:t>
      </w:r>
    </w:p>
    <w:p w14:paraId="3B6845F5">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2.确定标准主要内容的依据</w:t>
      </w:r>
    </w:p>
    <w:p w14:paraId="3EEF6842">
      <w:pPr>
        <w:pStyle w:val="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依据国家现行法规及现行标准规范，参照GB/T 150.3《压力容器 第3部分：设计》、GB/T 4334《金属和合金的腐蚀 不锈钢晶间腐蚀试验方法》、NB/T 47013.2《承压设备无损检测 第2部分：射线检测》、NB/T 47013.5《承压设备无损检测 第5部分：渗透检测》等相关国标与行业标准，为本文件在材质遴选、焊接工艺、质量控制、检验检测及技术流程搭建方面奠定规范基础，提供成熟的编制框架与合规依据。同时紧密结合行业生产实践与市场实际应用需求，充分兼顾电子级高纯化学品高洁净、低吸附、耐腐蚀、零泄漏的使用特性，统筹容器设计、制造、检验、运维全流程的安全管控边界与实操场景，保证标准条款贴合产业生产实际、具备较强的落地适用性。依托现有技术研究成果与多批次试验验证数据，采用理化检测、无损检测、腐蚀试验及性能测试等手段，对容器材质适配性、焊接质量、洁净性能及安全性能开展系统研究，为标准中试验原理、检测条件、检验流程及判定规则的设定提供科学数据支撑。同时借鉴国际同类不锈钢焊接容器安全管控与质量评价的先进理念及成熟经验，结合国内产业发展水平、生产工艺特点与监管实际进行本土化适配，保障标准兼具科学性、先进性与适配性。此外遵循质量管理体系规范要求，明确统一样品处理、试验流程及数据研判准则，全程严控流程偏差，确保检验检测结果客观公正、准确可溯源，为标准的落地实施提供坚实保障。</w:t>
      </w:r>
    </w:p>
    <w:p w14:paraId="0523CAD7">
      <w:pPr>
        <w:numPr>
          <w:ilvl w:val="0"/>
          <w:numId w:val="3"/>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主要试验[或验证]情况分析、技术经济论证、预期经济效果</w:t>
      </w:r>
    </w:p>
    <w:p w14:paraId="1982C7AC">
      <w:pPr>
        <w:pStyle w:val="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电子级高纯化学品用不锈钢焊接容器技术规范》主要试验（验证）情况围绕容器核心性能展开，全面覆盖使用及储存环境适配性、焊接质量、耐腐蚀性能、洁净度等关键指标，通过模拟高低温、湿热、光照等极端及常规环境，验证容器在电子级高纯化学品储存、输送场景下的稳定性，同时开展焊接接头无损检测、晶间腐蚀测试、颗粒度及金属离子析出检测、压力试验等关键项目，明确容器质量阈值与性能评价标准，确保试验数据能够准确反映容器实际使用中的安全性能与适配性，为规范条款制定提供科学可靠的试验支撑，杜绝因容器质量问题导致的高纯化学品污染、生产安全隐患。</w:t>
      </w:r>
    </w:p>
    <w:p w14:paraId="13342171">
      <w:pPr>
        <w:pStyle w:val="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从技术经济角度进行论证，制定该技术规范具有重要现实意义，一方面通过明确不锈钢基材、焊材的选用标准，规范焊接工艺、表面处理及检测流程，引导企业优化生产环节，减少因焊接缺陷、洁净度不达标导致的废品率，缩短生产周期，降低研发、生产及返工成本，同时提升容器核心品质；另一方面，规范能够整顿行业乱象，杜绝原料不合规、工艺不达标等问题，减少因容器质量引发的生产停工、纠纷处理及声誉损失，降低企业售后成本，同时通过标准化引导推动行业技术创新，助力产业升级，适配高端电子制造行业的严苛需求。</w:t>
      </w:r>
    </w:p>
    <w:p w14:paraId="02CAD28F">
      <w:pPr>
        <w:pStyle w:val="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该规范实施后的预期经济效果显著，一是通过标准化的试验与生产管控，确保容器产品质量一致性，减少因焊接缺陷、泄漏、金属离子析出等质量问题造成的产品报废、高纯化学品污染等损失，保障电子级高纯化学品生产的连续性；二是规范生产流程可优化资源配置，降低原料浪费、能源消耗及合规成本，实现企业降本增效，提升盈利水平；三是符合规范的容器产品更具公信力，能够满足半导体、显示面板等高端电子制造需求，帮助企业增强市场竞争力，拓展高端配套市场空间，推动行业良性发展与可持续进步。</w:t>
      </w:r>
    </w:p>
    <w:p w14:paraId="46C705F4">
      <w:pPr>
        <w:numPr>
          <w:ilvl w:val="0"/>
          <w:numId w:val="3"/>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与有关的现行法律、法规和强制性国家标准的关系</w:t>
      </w:r>
    </w:p>
    <w:p w14:paraId="5D5F9222">
      <w:pPr>
        <w:pStyle w:val="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本标准的制定过程、技术要求的选定、试验方法的确定、检验项目设置等符合现行法律、法规和强制性国家标准的规定。</w:t>
      </w:r>
    </w:p>
    <w:p w14:paraId="680010EF">
      <w:pPr>
        <w:numPr>
          <w:ilvl w:val="0"/>
          <w:numId w:val="3"/>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重大分歧意见的处理经过和依据</w:t>
      </w:r>
    </w:p>
    <w:p w14:paraId="3077AA40">
      <w:pPr>
        <w:pStyle w:val="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无。</w:t>
      </w:r>
    </w:p>
    <w:p w14:paraId="0060610B">
      <w:pPr>
        <w:numPr>
          <w:ilvl w:val="0"/>
          <w:numId w:val="3"/>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废止现行有关标准的建议</w:t>
      </w:r>
    </w:p>
    <w:p w14:paraId="64405480">
      <w:pPr>
        <w:pStyle w:val="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本标准不涉及对现行标准的废止。</w:t>
      </w:r>
    </w:p>
    <w:p w14:paraId="27E7AEC3">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知识产权情况说明</w:t>
      </w:r>
    </w:p>
    <w:p w14:paraId="2A4021B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本文件不涉及必要专利等知识产权情况。</w:t>
      </w:r>
    </w:p>
    <w:p w14:paraId="3796DFA6">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标准作为强制性或推荐性标准的建议</w:t>
      </w:r>
    </w:p>
    <w:p w14:paraId="5D40E7F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建议该标准作为推荐性团体标准。</w:t>
      </w:r>
    </w:p>
    <w:p w14:paraId="49183D48">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贯彻标准的要求和措施建议，包括（组织措施、技术措施、过渡办法）</w:t>
      </w:r>
    </w:p>
    <w:p w14:paraId="5142A3D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本标准首次制定，没有特殊要求。</w:t>
      </w:r>
    </w:p>
    <w:p w14:paraId="448306B4">
      <w:pPr>
        <w:numPr>
          <w:ilvl w:val="0"/>
          <w:numId w:val="3"/>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其他应予说明的事项</w:t>
      </w:r>
    </w:p>
    <w:p w14:paraId="0A76F638">
      <w:pPr>
        <w:adjustRightInd/>
        <w:spacing w:line="520" w:lineRule="exact"/>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 xml:space="preserve">无。 </w:t>
      </w:r>
    </w:p>
    <w:p w14:paraId="31732363">
      <w:pPr>
        <w:adjustRightInd/>
        <w:spacing w:line="520" w:lineRule="exact"/>
        <w:rPr>
          <w:rFonts w:hint="eastAsia" w:ascii="Times New Roman" w:hAnsi="Times New Roman" w:eastAsia="宋体" w:cs="Times New Roman"/>
          <w:b w:val="0"/>
          <w:bCs w:val="0"/>
          <w:color w:val="auto"/>
          <w:kern w:val="2"/>
          <w:sz w:val="24"/>
          <w:szCs w:val="24"/>
          <w:lang w:val="en-US" w:eastAsia="zh-CN" w:bidi="ar-SA"/>
        </w:rPr>
      </w:pPr>
    </w:p>
    <w:p w14:paraId="0F12174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right"/>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w:t>
      </w:r>
      <w:r>
        <w:rPr>
          <w:rFonts w:hint="eastAsia" w:ascii="宋体" w:hAnsi="宋体" w:cs="宋体"/>
          <w:b w:val="0"/>
          <w:bCs w:val="0"/>
          <w:color w:val="auto"/>
          <w:kern w:val="2"/>
          <w:sz w:val="24"/>
          <w:szCs w:val="24"/>
          <w:lang w:val="en-US" w:eastAsia="zh-CN" w:bidi="ar-SA"/>
        </w:rPr>
        <w:t>电子级高纯化学品用不锈钢焊接容器技术规范</w:t>
      </w:r>
      <w:r>
        <w:rPr>
          <w:rFonts w:hint="eastAsia" w:ascii="宋体" w:hAnsi="宋体" w:eastAsia="宋体" w:cs="宋体"/>
          <w:b w:val="0"/>
          <w:bCs w:val="0"/>
          <w:color w:val="auto"/>
          <w:kern w:val="2"/>
          <w:sz w:val="24"/>
          <w:szCs w:val="24"/>
          <w:lang w:val="en-US" w:eastAsia="zh-CN" w:bidi="ar-SA"/>
        </w:rPr>
        <w:t>》团体标准编制组</w:t>
      </w:r>
    </w:p>
    <w:p w14:paraId="0E927A6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righ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202</w:t>
      </w:r>
      <w:r>
        <w:rPr>
          <w:rFonts w:hint="eastAsia" w:ascii="宋体" w:hAnsi="宋体" w:cs="宋体"/>
          <w:b w:val="0"/>
          <w:bCs w:val="0"/>
          <w:color w:val="auto"/>
          <w:kern w:val="2"/>
          <w:sz w:val="24"/>
          <w:szCs w:val="24"/>
          <w:lang w:val="en-US" w:eastAsia="zh-CN" w:bidi="ar-SA"/>
        </w:rPr>
        <w:t>6</w:t>
      </w:r>
      <w:r>
        <w:rPr>
          <w:rFonts w:hint="eastAsia" w:ascii="宋体" w:hAnsi="宋体" w:eastAsia="宋体" w:cs="宋体"/>
          <w:b w:val="0"/>
          <w:bCs w:val="0"/>
          <w:color w:val="auto"/>
          <w:kern w:val="2"/>
          <w:sz w:val="24"/>
          <w:szCs w:val="24"/>
          <w:lang w:val="en-US" w:eastAsia="zh-CN" w:bidi="ar-SA"/>
        </w:rPr>
        <w:t>年</w:t>
      </w:r>
      <w:r>
        <w:rPr>
          <w:rFonts w:hint="eastAsia" w:ascii="宋体" w:hAnsi="宋体" w:cs="宋体"/>
          <w:b w:val="0"/>
          <w:bCs w:val="0"/>
          <w:color w:val="auto"/>
          <w:kern w:val="2"/>
          <w:sz w:val="24"/>
          <w:szCs w:val="24"/>
          <w:lang w:val="en-US" w:eastAsia="zh-CN" w:bidi="ar-SA"/>
        </w:rPr>
        <w:t>5</w:t>
      </w:r>
      <w:r>
        <w:rPr>
          <w:rFonts w:hint="eastAsia" w:ascii="宋体" w:hAnsi="宋体" w:eastAsia="宋体" w:cs="宋体"/>
          <w:b w:val="0"/>
          <w:bCs w:val="0"/>
          <w:color w:val="auto"/>
          <w:kern w:val="2"/>
          <w:sz w:val="24"/>
          <w:szCs w:val="24"/>
          <w:lang w:val="en-US" w:eastAsia="zh-CN" w:bidi="ar-SA"/>
        </w:rPr>
        <w:t>月</w:t>
      </w:r>
    </w:p>
    <w:sectPr>
      <w:footerReference r:id="rId6" w:type="first"/>
      <w:footerReference r:id="rId5" w:type="default"/>
      <w:pgSz w:w="11906" w:h="16838"/>
      <w:pgMar w:top="1474" w:right="1474" w:bottom="1474" w:left="1474"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263D">
    <w:pPr>
      <w:pStyle w:val="5"/>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0390F">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80390F">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A3D8A">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E4DD4">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E6E4DD4">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7EA28"/>
    <w:multiLevelType w:val="singleLevel"/>
    <w:tmpl w:val="DF77EA28"/>
    <w:lvl w:ilvl="0" w:tentative="0">
      <w:start w:val="1"/>
      <w:numFmt w:val="chineseCounting"/>
      <w:suff w:val="nothing"/>
      <w:lvlText w:val="%1、"/>
      <w:lvlJc w:val="left"/>
      <w:rPr>
        <w:rFonts w:hint="eastAsia"/>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283"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u w:val="none" w:color="auto"/>
      </w:rPr>
    </w:lvl>
    <w:lvl w:ilvl="1" w:tentative="0">
      <w:start w:val="1"/>
      <w:numFmt w:val="decimal"/>
      <w:pStyle w:val="21"/>
      <w:suff w:val="nothing"/>
      <w:lvlText w:val="%1%2　"/>
      <w:lvlJc w:val="left"/>
      <w:pPr>
        <w:ind w:left="0" w:firstLine="0"/>
      </w:pPr>
      <w:rPr>
        <w:rFonts w:hint="eastAsia" w:ascii="黑体" w:hAnsi="Times New Roman" w:eastAsia="黑体"/>
        <w:sz w:val="21"/>
        <w:u w:val="none" w:color="auto"/>
      </w:rPr>
    </w:lvl>
    <w:lvl w:ilvl="2" w:tentative="0">
      <w:start w:val="1"/>
      <w:numFmt w:val="decimal"/>
      <w:pStyle w:val="20"/>
      <w:suff w:val="nothing"/>
      <w:lvlText w:val="%1%2.%3　"/>
      <w:lvlJc w:val="left"/>
      <w:pPr>
        <w:ind w:left="0" w:firstLine="0"/>
      </w:pPr>
      <w:rPr>
        <w:rFonts w:hint="eastAsia" w:ascii="黑体" w:hAnsi="Times New Roman" w:eastAsia="黑体" w:cs="Times New Roman"/>
        <w:color w:val="000000"/>
        <w:sz w:val="21"/>
        <w:u w:val="none" w:color="000000"/>
      </w:rPr>
    </w:lvl>
    <w:lvl w:ilvl="3" w:tentative="0">
      <w:start w:val="1"/>
      <w:numFmt w:val="decimal"/>
      <w:suff w:val="nothing"/>
      <w:lvlText w:val="%1%2.%3.%4　"/>
      <w:lvlJc w:val="left"/>
      <w:pPr>
        <w:ind w:left="0" w:firstLine="0"/>
      </w:pPr>
      <w:rPr>
        <w:rFonts w:hint="eastAsia" w:ascii="黑体" w:hAnsi="Times New Roman" w:eastAsia="黑体"/>
        <w:sz w:val="21"/>
        <w:u w:val="none" w:color="auto"/>
      </w:rPr>
    </w:lvl>
    <w:lvl w:ilvl="4" w:tentative="0">
      <w:start w:val="1"/>
      <w:numFmt w:val="decimal"/>
      <w:suff w:val="nothing"/>
      <w:lvlText w:val="%1%2.%3.%4.%5　"/>
      <w:lvlJc w:val="left"/>
      <w:pPr>
        <w:ind w:left="0" w:firstLine="0"/>
      </w:pPr>
      <w:rPr>
        <w:rFonts w:hint="eastAsia" w:ascii="黑体" w:hAnsi="Times New Roman" w:eastAsia="黑体"/>
        <w:sz w:val="21"/>
        <w:u w:val="none" w:color="auto"/>
      </w:rPr>
    </w:lvl>
    <w:lvl w:ilvl="5" w:tentative="0">
      <w:start w:val="1"/>
      <w:numFmt w:val="decimal"/>
      <w:suff w:val="nothing"/>
      <w:lvlText w:val="%1%2.%3.%4.%5.%6　"/>
      <w:lvlJc w:val="left"/>
      <w:pPr>
        <w:ind w:left="0" w:firstLine="0"/>
      </w:pPr>
      <w:rPr>
        <w:rFonts w:hint="eastAsia" w:ascii="黑体" w:hAnsi="Times New Roman" w:eastAsia="黑体"/>
        <w:sz w:val="21"/>
        <w:u w:val="none" w:color="auto"/>
      </w:rPr>
    </w:lvl>
    <w:lvl w:ilvl="6" w:tentative="0">
      <w:start w:val="1"/>
      <w:numFmt w:val="decimal"/>
      <w:suff w:val="nothing"/>
      <w:lvlText w:val="%1%2.%3.%4.%5.%6.%7　"/>
      <w:lvlJc w:val="left"/>
      <w:pPr>
        <w:ind w:left="0" w:firstLine="0"/>
      </w:pPr>
      <w:rPr>
        <w:rFonts w:hint="eastAsia" w:ascii="黑体" w:hAnsi="Times New Roman" w:eastAsia="黑体"/>
        <w:sz w:val="21"/>
        <w:u w:val="none" w:color="auto"/>
      </w:rPr>
    </w:lvl>
    <w:lvl w:ilvl="7" w:tentative="0">
      <w:start w:val="1"/>
      <w:numFmt w:val="decimal"/>
      <w:lvlText w:val="%1.%2.%3.%4.%5.%6.%7.%8"/>
      <w:lvlJc w:val="left"/>
      <w:pPr>
        <w:tabs>
          <w:tab w:val="left" w:pos="4351"/>
        </w:tabs>
        <w:ind w:left="3969" w:hanging="1418"/>
      </w:pPr>
      <w:rPr>
        <w:rFonts w:hint="default"/>
        <w:u w:val="none" w:color="auto"/>
      </w:rPr>
    </w:lvl>
    <w:lvl w:ilvl="8" w:tentative="0">
      <w:start w:val="1"/>
      <w:numFmt w:val="decimal"/>
      <w:lvlText w:val="%1.%2.%3.%4.%5.%6.%7.%8.%9"/>
      <w:lvlJc w:val="left"/>
      <w:pPr>
        <w:tabs>
          <w:tab w:val="left" w:pos="4777"/>
        </w:tabs>
        <w:ind w:left="4677" w:hanging="1700"/>
      </w:pPr>
      <w:rPr>
        <w:rFonts w:hint="default"/>
        <w:u w:val="none" w:color="auto"/>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lMzE1NmU5NGVjNjg2MzIyYjQyMTM1ZjkxNWYxOTEifQ=="/>
  </w:docVars>
  <w:rsids>
    <w:rsidRoot w:val="00172A27"/>
    <w:rsid w:val="00003F8E"/>
    <w:rsid w:val="00031262"/>
    <w:rsid w:val="000678C8"/>
    <w:rsid w:val="000C2941"/>
    <w:rsid w:val="001E0BCA"/>
    <w:rsid w:val="0022665B"/>
    <w:rsid w:val="002D5E86"/>
    <w:rsid w:val="00316E46"/>
    <w:rsid w:val="00396248"/>
    <w:rsid w:val="00480E96"/>
    <w:rsid w:val="004A39DC"/>
    <w:rsid w:val="00582A2F"/>
    <w:rsid w:val="005C11CB"/>
    <w:rsid w:val="005E679A"/>
    <w:rsid w:val="00656B83"/>
    <w:rsid w:val="0069157B"/>
    <w:rsid w:val="006D57C9"/>
    <w:rsid w:val="00780B13"/>
    <w:rsid w:val="007A6776"/>
    <w:rsid w:val="00877D40"/>
    <w:rsid w:val="00920FC6"/>
    <w:rsid w:val="009365DD"/>
    <w:rsid w:val="00953173"/>
    <w:rsid w:val="00953DD1"/>
    <w:rsid w:val="009B2A7D"/>
    <w:rsid w:val="009F158D"/>
    <w:rsid w:val="00A450BA"/>
    <w:rsid w:val="00AD07F2"/>
    <w:rsid w:val="00AE10C4"/>
    <w:rsid w:val="00B25D6A"/>
    <w:rsid w:val="00BE37FD"/>
    <w:rsid w:val="00BF2017"/>
    <w:rsid w:val="00D30CDC"/>
    <w:rsid w:val="00D468A7"/>
    <w:rsid w:val="00DF18E0"/>
    <w:rsid w:val="00EC3847"/>
    <w:rsid w:val="00EF14A0"/>
    <w:rsid w:val="00F339D1"/>
    <w:rsid w:val="00F371BA"/>
    <w:rsid w:val="00F663F7"/>
    <w:rsid w:val="00F9799E"/>
    <w:rsid w:val="00F97C40"/>
    <w:rsid w:val="00FD38D1"/>
    <w:rsid w:val="00FD47E3"/>
    <w:rsid w:val="026D6E02"/>
    <w:rsid w:val="02F25185"/>
    <w:rsid w:val="08C94E1A"/>
    <w:rsid w:val="09D021AA"/>
    <w:rsid w:val="09E013D8"/>
    <w:rsid w:val="0E125B51"/>
    <w:rsid w:val="0EF73150"/>
    <w:rsid w:val="10060813"/>
    <w:rsid w:val="11E24C48"/>
    <w:rsid w:val="15E52C78"/>
    <w:rsid w:val="1732672E"/>
    <w:rsid w:val="178A75E4"/>
    <w:rsid w:val="1A554829"/>
    <w:rsid w:val="1C6642AB"/>
    <w:rsid w:val="1DD20A70"/>
    <w:rsid w:val="1E237678"/>
    <w:rsid w:val="1E6E623A"/>
    <w:rsid w:val="202076CF"/>
    <w:rsid w:val="2194727B"/>
    <w:rsid w:val="21CB61A2"/>
    <w:rsid w:val="223573AF"/>
    <w:rsid w:val="22A266A4"/>
    <w:rsid w:val="2656217A"/>
    <w:rsid w:val="27133B25"/>
    <w:rsid w:val="28655A50"/>
    <w:rsid w:val="330927AE"/>
    <w:rsid w:val="358362DE"/>
    <w:rsid w:val="36916617"/>
    <w:rsid w:val="39CE4183"/>
    <w:rsid w:val="3B8D6699"/>
    <w:rsid w:val="3CC33464"/>
    <w:rsid w:val="3EB47508"/>
    <w:rsid w:val="3EB827C1"/>
    <w:rsid w:val="3F8F0DE9"/>
    <w:rsid w:val="43EB6D0E"/>
    <w:rsid w:val="45837C34"/>
    <w:rsid w:val="491238A7"/>
    <w:rsid w:val="4B5072BB"/>
    <w:rsid w:val="4B5510D9"/>
    <w:rsid w:val="52A075B6"/>
    <w:rsid w:val="539A7191"/>
    <w:rsid w:val="59344C26"/>
    <w:rsid w:val="5A3B68D8"/>
    <w:rsid w:val="5BC80BA0"/>
    <w:rsid w:val="5F8F42AD"/>
    <w:rsid w:val="5FB93C59"/>
    <w:rsid w:val="610E43FE"/>
    <w:rsid w:val="61A905CB"/>
    <w:rsid w:val="61EB2350"/>
    <w:rsid w:val="621517BC"/>
    <w:rsid w:val="6299419B"/>
    <w:rsid w:val="63F51786"/>
    <w:rsid w:val="66AD645E"/>
    <w:rsid w:val="67332E10"/>
    <w:rsid w:val="699403C8"/>
    <w:rsid w:val="6B3B6A1E"/>
    <w:rsid w:val="6BB84480"/>
    <w:rsid w:val="70B155EE"/>
    <w:rsid w:val="768B2463"/>
    <w:rsid w:val="77C33D3D"/>
    <w:rsid w:val="7AC202DC"/>
    <w:rsid w:val="7B05054F"/>
    <w:rsid w:val="7BC46246"/>
    <w:rsid w:val="7C55517F"/>
    <w:rsid w:val="7D1F6674"/>
    <w:rsid w:val="7EBB3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Calibri"/>
      <w:kern w:val="2"/>
      <w:sz w:val="21"/>
      <w:szCs w:val="21"/>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before="50" w:line="360" w:lineRule="exact"/>
    </w:pPr>
    <w:rPr>
      <w:b/>
      <w:bCs/>
      <w:color w:val="FF0000"/>
      <w:sz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autoRedefine/>
    <w:qFormat/>
    <w:uiPriority w:val="0"/>
    <w:pPr>
      <w:spacing w:beforeAutospacing="1" w:afterAutospacing="1"/>
      <w:jc w:val="left"/>
    </w:pPr>
    <w:rPr>
      <w:rFonts w:cs="Times New Roman"/>
      <w:kern w:val="0"/>
      <w:sz w:val="24"/>
      <w:szCs w:val="24"/>
    </w:rPr>
  </w:style>
  <w:style w:type="character" w:styleId="10">
    <w:name w:val="Strong"/>
    <w:basedOn w:val="9"/>
    <w:autoRedefine/>
    <w:qFormat/>
    <w:uiPriority w:val="22"/>
    <w:rPr>
      <w:b/>
      <w:bCs/>
    </w:rPr>
  </w:style>
  <w:style w:type="character" w:customStyle="1" w:styleId="11">
    <w:name w:val="页眉 字符"/>
    <w:basedOn w:val="9"/>
    <w:link w:val="6"/>
    <w:autoRedefine/>
    <w:qFormat/>
    <w:uiPriority w:val="0"/>
    <w:rPr>
      <w:rFonts w:ascii="Calibri" w:hAnsi="Calibri" w:eastAsia="宋体" w:cs="Calibri"/>
      <w:kern w:val="2"/>
      <w:sz w:val="18"/>
      <w:szCs w:val="18"/>
    </w:rPr>
  </w:style>
  <w:style w:type="paragraph" w:customStyle="1" w:styleId="12">
    <w:name w:val="段"/>
    <w:basedOn w:val="1"/>
    <w:link w:val="14"/>
    <w:autoRedefine/>
    <w:qFormat/>
    <w:uiPriority w:val="0"/>
    <w:pPr>
      <w:spacing w:line="240" w:lineRule="auto"/>
      <w:ind w:firstLine="420" w:firstLineChars="200"/>
    </w:pPr>
    <w:rPr>
      <w:rFonts w:ascii="Times New Roman" w:hAnsi="Times New Roman"/>
    </w:rPr>
  </w:style>
  <w:style w:type="character" w:customStyle="1" w:styleId="13">
    <w:name w:val="页脚 字符"/>
    <w:basedOn w:val="9"/>
    <w:link w:val="5"/>
    <w:autoRedefine/>
    <w:qFormat/>
    <w:uiPriority w:val="99"/>
    <w:rPr>
      <w:rFonts w:ascii="Calibri" w:hAnsi="Calibri" w:cs="Calibri"/>
      <w:kern w:val="2"/>
      <w:sz w:val="18"/>
      <w:szCs w:val="18"/>
    </w:rPr>
  </w:style>
  <w:style w:type="character" w:customStyle="1" w:styleId="14">
    <w:name w:val="段 字符"/>
    <w:basedOn w:val="9"/>
    <w:link w:val="12"/>
    <w:autoRedefine/>
    <w:qFormat/>
    <w:uiPriority w:val="0"/>
    <w:rPr>
      <w:rFonts w:cs="Calibri"/>
      <w:kern w:val="2"/>
      <w:sz w:val="21"/>
      <w:szCs w:val="21"/>
    </w:rPr>
  </w:style>
  <w:style w:type="paragraph" w:customStyle="1" w:styleId="15">
    <w:name w:val="正文段落，引导语"/>
    <w:basedOn w:val="12"/>
    <w:autoRedefine/>
    <w:qFormat/>
    <w:uiPriority w:val="0"/>
    <w:rPr>
      <w:rFonts w:ascii="宋体" w:hAnsi="宋体"/>
    </w:rPr>
  </w:style>
  <w:style w:type="paragraph" w:customStyle="1" w:styleId="16">
    <w:name w:val="一级条标题"/>
    <w:next w:val="12"/>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7">
    <w:name w:val="标准文件_页脚奇数页"/>
    <w:unhideWhenUsed/>
    <w:qFormat/>
    <w:uiPriority w:val="0"/>
    <w:pPr>
      <w:spacing w:beforeLines="0" w:afterLines="0"/>
      <w:ind w:right="227"/>
      <w:jc w:val="right"/>
    </w:pPr>
    <w:rPr>
      <w:rFonts w:hint="default" w:ascii="宋体" w:hAnsi="Times New Roman" w:eastAsia="宋体" w:cs="Times New Roman"/>
      <w:sz w:val="18"/>
      <w:szCs w:val="24"/>
      <w:lang w:val="en-US" w:eastAsia="zh-CN" w:bidi="ar-SA"/>
    </w:rPr>
  </w:style>
  <w:style w:type="paragraph" w:customStyle="1" w:styleId="18">
    <w:name w:val="标准文件_术语条一"/>
    <w:basedOn w:val="19"/>
    <w:next w:val="22"/>
    <w:unhideWhenUsed/>
    <w:qFormat/>
    <w:uiPriority w:val="0"/>
    <w:rPr>
      <w:rFonts w:hint="default"/>
      <w:sz w:val="21"/>
      <w:szCs w:val="24"/>
    </w:rPr>
  </w:style>
  <w:style w:type="paragraph" w:customStyle="1" w:styleId="19">
    <w:name w:val="标准文件_一级无标题"/>
    <w:basedOn w:val="20"/>
    <w:unhideWhenUsed/>
    <w:qFormat/>
    <w:uiPriority w:val="0"/>
    <w:pPr>
      <w:spacing w:before="0" w:beforeLines="0" w:after="0" w:afterLines="0"/>
      <w:outlineLvl w:val="9"/>
    </w:pPr>
    <w:rPr>
      <w:rFonts w:hint="default" w:ascii="宋体" w:eastAsia="宋体"/>
      <w:sz w:val="21"/>
      <w:szCs w:val="24"/>
    </w:rPr>
  </w:style>
  <w:style w:type="paragraph" w:customStyle="1" w:styleId="20">
    <w:name w:val="标准文件_一级条标题"/>
    <w:basedOn w:val="21"/>
    <w:next w:val="1"/>
    <w:unhideWhenUsed/>
    <w:qFormat/>
    <w:uiPriority w:val="0"/>
    <w:pPr>
      <w:numPr>
        <w:ilvl w:val="2"/>
      </w:numPr>
      <w:spacing w:before="120" w:beforeLines="50" w:after="120" w:afterLines="50"/>
      <w:outlineLvl w:val="1"/>
    </w:pPr>
    <w:rPr>
      <w:rFonts w:hint="eastAsia"/>
      <w:sz w:val="21"/>
      <w:szCs w:val="24"/>
    </w:rPr>
  </w:style>
  <w:style w:type="paragraph" w:customStyle="1" w:styleId="21">
    <w:name w:val="标准文件_章标题"/>
    <w:next w:val="1"/>
    <w:unhideWhenUsed/>
    <w:qFormat/>
    <w:uiPriority w:val="0"/>
    <w:pPr>
      <w:numPr>
        <w:ilvl w:val="1"/>
        <w:numId w:val="2"/>
      </w:numPr>
      <w:spacing w:before="100" w:beforeLines="100" w:after="100" w:afterLines="100"/>
      <w:jc w:val="both"/>
      <w:outlineLvl w:val="0"/>
    </w:pPr>
    <w:rPr>
      <w:rFonts w:hint="eastAsia" w:ascii="黑体" w:hAnsi="Times New Roman" w:eastAsia="黑体" w:cs="Times New Roman"/>
      <w:sz w:val="21"/>
      <w:szCs w:val="24"/>
      <w:lang w:val="en-US" w:eastAsia="zh-CN" w:bidi="ar-SA"/>
    </w:rPr>
  </w:style>
  <w:style w:type="paragraph" w:customStyle="1" w:styleId="22">
    <w:name w:val="标准文件_段"/>
    <w:unhideWhenUsed/>
    <w:qFormat/>
    <w:uiPriority w:val="0"/>
    <w:pPr>
      <w:autoSpaceDE w:val="0"/>
      <w:autoSpaceDN w:val="0"/>
      <w:spacing w:beforeLines="0" w:afterLines="0"/>
      <w:ind w:firstLine="200" w:firstLineChars="200"/>
      <w:jc w:val="both"/>
    </w:pPr>
    <w:rPr>
      <w:rFonts w:hint="default" w:ascii="宋体" w:hAnsi="Times New Roman"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3436</Words>
  <Characters>3636</Characters>
  <Lines>22</Lines>
  <Paragraphs>6</Paragraphs>
  <TotalTime>15</TotalTime>
  <ScaleCrop>false</ScaleCrop>
  <LinksUpToDate>false</LinksUpToDate>
  <CharactersWithSpaces>3684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2024-02-21T02:44:00Z</dcterms:created>
  <dc:creator>Admin</dc:creator>
  <cp:lastModifiedBy>马宪臣</cp:lastModifiedBy>
  <cp:lastPrinted>2024-05-17T07:43:00Z</cp:lastPrinted>
  <dcterms:modified xsi:type="dcterms:W3CDTF">2026-05-11T06:59:17Z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77B23928A731457FA874104C86DFA847_13</vt:lpwstr>
  </property>
  <property fmtid="{D5CDD505-2E9C-101B-9397-08002B2CF9AE}" pid="4" name="KSOTemplateDocerSaveRecord">
    <vt:lpwstr>eyJoZGlkIjoiYzIxOTVlZWMxZDFiODI1OTQ1OTY0MjZmZTgxYTJlYjAiLCJ1c2VySWQiOiI4ODYxMDg2ODkifQ==</vt:lpwstr>
  </property>
</Properties>
</file>