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52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BB833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BA5C3B9">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29.18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29.180</w:t>
            </w:r>
            <w:r>
              <w:rPr>
                <w:rFonts w:hint="eastAsia" w:ascii="黑体" w:hAnsi="黑体" w:eastAsia="黑体" w:cs="Times New Roman"/>
                <w:kern w:val="2"/>
                <w:sz w:val="21"/>
                <w:szCs w:val="21"/>
                <w:lang w:val="en-US" w:eastAsia="zh-CN" w:bidi="ar-SA"/>
              </w:rPr>
              <w:fldChar w:fldCharType="end"/>
            </w:r>
            <w:bookmarkEnd w:id="0"/>
          </w:p>
        </w:tc>
      </w:tr>
      <w:tr w14:paraId="2263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67415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BFA7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841FE24">
                  <w:pPr>
                    <w:pStyle w:val="50"/>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5"/>
                                <a:stretch>
                                  <a:fillRect/>
                                </a:stretch>
                              </pic:blipFill>
                              <pic:spPr>
                                <a:xfrm>
                                  <a:off x="0" y="0"/>
                                  <a:ext cx="1048385" cy="1048385"/>
                                </a:xfrm>
                                <a:prstGeom prst="rect">
                                  <a:avLst/>
                                </a:prstGeom>
                              </pic:spPr>
                            </pic:pic>
                          </a:graphicData>
                        </a:graphic>
                      </wp:anchor>
                    </w:drawing>
                  </w:r>
                </w:p>
              </w:tc>
            </w:tr>
          </w:tbl>
          <w:p w14:paraId="419C408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K 41"/>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K 41</w:t>
            </w:r>
            <w:r>
              <w:rPr>
                <w:rFonts w:hint="eastAsia" w:ascii="黑体" w:hAnsi="黑体" w:eastAsia="黑体" w:cs="Times New Roman"/>
                <w:kern w:val="2"/>
                <w:sz w:val="21"/>
                <w:szCs w:val="21"/>
                <w:lang w:val="en-US" w:eastAsia="zh-CN" w:bidi="ar-SA"/>
              </w:rPr>
              <w:fldChar w:fldCharType="end"/>
            </w:r>
            <w:bookmarkEnd w:id="1"/>
          </w:p>
        </w:tc>
      </w:tr>
    </w:tbl>
    <w:p w14:paraId="70F60B15">
      <w:pPr>
        <w:pStyle w:val="51"/>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2A14183F">
      <w:pPr>
        <w:pStyle w:val="196"/>
      </w:pPr>
      <w:r>
        <w:t>T/</w:t>
      </w:r>
      <w:bookmarkStart w:id="3" w:name="文字1"/>
      <w:r>
        <w:fldChar w:fldCharType="begin">
          <w:ffData>
            <w:name w:val="文字1"/>
            <w:enabled/>
            <w:calcOnExit w:val="0"/>
            <w:textInput>
              <w:default w:val="CEATEC"/>
            </w:textInput>
          </w:ffData>
        </w:fldChar>
      </w:r>
      <w:r>
        <w:instrText xml:space="preserve">FORMTEXT</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FF2E6DA">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48F1B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192397">
      <w:pPr>
        <w:pStyle w:val="51"/>
        <w:framePr w:w="9639" w:h="6976" w:hRule="exact" w:hSpace="0" w:vSpace="0" w:wrap="around" w:hAnchor="page" w:y="6408"/>
        <w:jc w:val="center"/>
        <w:rPr>
          <w:rFonts w:hint="eastAsia" w:ascii="黑体" w:hAnsi="黑体" w:eastAsia="黑体"/>
          <w:b w:val="0"/>
          <w:bCs w:val="0"/>
          <w:w w:val="100"/>
        </w:rPr>
      </w:pPr>
    </w:p>
    <w:p w14:paraId="3C770DCE">
      <w:pPr>
        <w:pStyle w:val="198"/>
        <w:framePr w:h="6974" w:hRule="exact" w:wrap="around" w:x="1419" w:anchorLock="1"/>
        <w:rPr>
          <w:rFonts w:hint="eastAsia"/>
        </w:rPr>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固态变压器 第4部分：电动汽车超充网络用固态变压器"/>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固态变压器 第4部分：电动汽车超充网络用固态变压器</w:t>
      </w:r>
      <w:r>
        <w:rPr>
          <w:rFonts w:hint="eastAsia" w:ascii="黑体" w:hAnsi="黑体" w:eastAsia="黑体" w:cs="Times New Roman"/>
          <w:bCs/>
          <w:sz w:val="52"/>
          <w:lang w:val="en-US" w:eastAsia="zh-CN" w:bidi="ar-SA"/>
        </w:rPr>
        <w:fldChar w:fldCharType="end"/>
      </w:r>
      <w:bookmarkEnd w:id="7"/>
    </w:p>
    <w:p w14:paraId="3E596949">
      <w:pPr>
        <w:framePr w:w="9639" w:h="6974" w:hRule="exact" w:wrap="around" w:vAnchor="page" w:hAnchor="page" w:x="1419" w:y="6408" w:anchorLock="1"/>
        <w:ind w:left="-1418"/>
      </w:pPr>
    </w:p>
    <w:p w14:paraId="0728E579">
      <w:pPr>
        <w:pStyle w:val="126"/>
        <w:framePr w:w="9639" w:h="6974" w:hRule="exact" w:wrap="around" w:vAnchor="page" w:hAnchor="page" w:x="1419" w:y="6408" w:anchorLock="1"/>
        <w:textAlignment w:val="bottom"/>
        <w:rPr>
          <w:rFonts w:eastAsia="黑体"/>
          <w:szCs w:val="28"/>
        </w:rPr>
      </w:pPr>
      <w:bookmarkStart w:id="8"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Solid-state transformer—Part 4：Solid-state transformer for ultra-fast charging networks of electric vehicle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Solid-state transformer—Part 4：Solid-state transformer for ultra-fast charging networks of electric vehicles</w:t>
      </w:r>
      <w:r>
        <w:rPr>
          <w:rFonts w:ascii="Times New Roman" w:hAnsi="Times New Roman" w:eastAsia="黑体" w:cs="Times New Roman"/>
          <w:sz w:val="28"/>
          <w:szCs w:val="28"/>
          <w:lang w:val="en-US" w:eastAsia="zh-CN" w:bidi="ar-SA"/>
        </w:rPr>
        <w:fldChar w:fldCharType="end"/>
      </w:r>
      <w:bookmarkEnd w:id="8"/>
    </w:p>
    <w:p w14:paraId="635E428B">
      <w:pPr>
        <w:pStyle w:val="126"/>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46F7FF2A">
      <w:pPr>
        <w:framePr w:w="9639" w:h="6974" w:hRule="exact" w:wrap="around" w:vAnchor="page" w:hAnchor="page" w:x="1419" w:y="6408" w:anchorLock="1"/>
        <w:spacing w:line="760" w:lineRule="exact"/>
        <w:ind w:left="-1418"/>
      </w:pPr>
    </w:p>
    <w:p w14:paraId="3304CE8B">
      <w:pPr>
        <w:pStyle w:val="194"/>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A746DA1">
      <w:pPr>
        <w:pStyle w:val="195"/>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F9EB01A">
      <w:pPr>
        <w:pStyle w:val="152"/>
        <w:framePr w:h="584" w:hRule="exact" w:hSpace="181" w:vSpace="181" w:wrap="around" w:vAnchor="page" w:y="14783"/>
        <w:rPr>
          <w:rFonts w:hint="eastAsia" w:hAnsi="黑体"/>
        </w:rPr>
      </w:pPr>
      <w:r>
        <w:rPr>
          <w:rFonts w:hint="eastAsia" w:hAnsi="黑体"/>
          <w:w w:val="100"/>
          <w:sz w:val="28"/>
        </w:rPr>
        <w:fldChar w:fldCharType="begin">
          <w:ffData>
            <w:name w:val="fm"/>
            <w:enabled/>
            <w:calcOnExit w:val="0"/>
            <w:textInput>
              <w:default w:val="中国欧洲经济技术合作协会"/>
            </w:textInput>
          </w:ffData>
        </w:fldChar>
      </w:r>
      <w:bookmarkStart w:id="15"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中国欧洲经济技术合作协会</w:t>
      </w:r>
      <w:r>
        <w:rPr>
          <w:rFonts w:hint="eastAsia" w:hAnsi="黑体"/>
          <w:w w:val="10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45D69D8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53946"/>
        <w15:color w:val="DBDBDB"/>
        <w:docPartObj>
          <w:docPartGallery w:val="Table of Contents"/>
          <w:docPartUnique/>
        </w:docPartObj>
      </w:sdtPr>
      <w:sdtEndPr>
        <w:rPr>
          <w:rFonts w:ascii="Calibri" w:hAnsi="Calibri" w:eastAsia="宋体" w:cs="Times New Roman"/>
          <w:kern w:val="2"/>
          <w:sz w:val="21"/>
          <w:szCs w:val="21"/>
          <w:lang w:val="en-US" w:eastAsia="zh-CN" w:bidi="ar-SA"/>
        </w:rPr>
      </w:sdtEndPr>
      <w:sdtContent>
        <w:p w14:paraId="7474546C">
          <w:pPr>
            <w:keepNext w:val="0"/>
            <w:keepLines w:val="0"/>
            <w:pageBreakBefore w:val="0"/>
            <w:widowControl w:val="0"/>
            <w:kinsoku/>
            <w:wordWrap/>
            <w:overflowPunct/>
            <w:topLinePunct w:val="0"/>
            <w:autoSpaceDE/>
            <w:autoSpaceDN/>
            <w:bidi w:val="0"/>
            <w:adjustRightInd w:val="0"/>
            <w:snapToGrid/>
            <w:spacing w:before="850" w:beforeLines="0" w:after="680" w:afterLines="0" w:line="240" w:lineRule="auto"/>
            <w:ind w:left="0" w:leftChars="0" w:right="0" w:rightChars="0" w:firstLine="0" w:firstLineChars="0"/>
            <w:jc w:val="center"/>
            <w:textAlignment w:val="auto"/>
          </w:pPr>
          <w:bookmarkStart w:id="16" w:name="BookMark1"/>
          <w:bookmarkStart w:id="17" w:name="_Toc193291668"/>
          <w:bookmarkStart w:id="18" w:name="_Toc216256296"/>
          <w:bookmarkStart w:id="19" w:name="_Toc193291701"/>
          <w:bookmarkStart w:id="20" w:name="_Toc206422068"/>
          <w:bookmarkStart w:id="21" w:name="_Toc215150373"/>
          <w:bookmarkStart w:id="22" w:name="_Toc198643914"/>
          <w:bookmarkStart w:id="23" w:name="_Toc215648537"/>
          <w:bookmarkStart w:id="24" w:name="_Toc190351372"/>
          <w:bookmarkStart w:id="25" w:name="_Toc209689044"/>
          <w:bookmarkStart w:id="26" w:name="_Toc188544353"/>
          <w:bookmarkStart w:id="27" w:name="_Toc183512634"/>
          <w:r>
            <w:rPr>
              <w:rFonts w:hint="eastAsia" w:ascii="黑体" w:hAnsi="Times New Roman" w:eastAsia="黑体" w:cs="Times New Roman"/>
              <w:spacing w:val="320"/>
              <w:kern w:val="0"/>
              <w:sz w:val="32"/>
              <w:szCs w:val="20"/>
              <w:lang w:val="en-US" w:eastAsia="zh-CN" w:bidi="ar-SA"/>
            </w:rPr>
            <w:t>目次</w:t>
          </w:r>
        </w:p>
        <w:p w14:paraId="7821D844">
          <w:pPr>
            <w:pStyle w:val="20"/>
            <w:tabs>
              <w:tab w:val="right" w:leader="dot" w:pos="9355"/>
            </w:tabs>
          </w:pPr>
          <w:r>
            <w:rPr>
              <w:rFonts w:ascii="Calibri" w:hAnsi="Calibri" w:eastAsia="宋体" w:cs="Times New Roman"/>
              <w:kern w:val="2"/>
              <w:sz w:val="21"/>
              <w:szCs w:val="21"/>
              <w:lang w:val="en-US" w:eastAsia="zh-CN" w:bidi="ar-SA"/>
            </w:rPr>
            <w:fldChar w:fldCharType="begin"/>
          </w:r>
          <w:r>
            <w:rPr>
              <w:rFonts w:ascii="Calibri" w:hAnsi="Calibri" w:eastAsia="宋体" w:cs="Times New Roman"/>
              <w:kern w:val="2"/>
              <w:sz w:val="21"/>
              <w:szCs w:val="21"/>
              <w:lang w:val="en-US" w:eastAsia="zh-CN" w:bidi="ar-SA"/>
            </w:rPr>
            <w:instrText xml:space="preserve">TOC \o "1-2" \h \u </w:instrText>
          </w:r>
          <w:r>
            <w:rPr>
              <w:rFonts w:ascii="Calibri" w:hAnsi="Calibri" w:eastAsia="宋体" w:cs="Times New Roman"/>
              <w:kern w:val="2"/>
              <w:sz w:val="21"/>
              <w:szCs w:val="21"/>
              <w:lang w:val="en-US" w:eastAsia="zh-CN" w:bidi="ar-SA"/>
            </w:rPr>
            <w:fldChar w:fldCharType="separate"/>
          </w: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_Toc26126 </w:instrText>
          </w:r>
          <w:r>
            <w:rPr>
              <w:rFonts w:ascii="Calibri" w:hAnsi="Calibri" w:eastAsia="宋体" w:cs="Times New Roman"/>
              <w:kern w:val="2"/>
              <w:szCs w:val="21"/>
              <w:lang w:val="en-US" w:eastAsia="zh-CN" w:bidi="ar-SA"/>
            </w:rPr>
            <w:fldChar w:fldCharType="separate"/>
          </w:r>
          <w:r>
            <w:rPr>
              <w:rFonts w:hint="eastAsia"/>
              <w:spacing w:val="320"/>
            </w:rPr>
            <w:t>前</w:t>
          </w:r>
          <w:r>
            <w:rPr>
              <w:rFonts w:hint="eastAsia"/>
            </w:rPr>
            <w:t>言</w:t>
          </w:r>
          <w:r>
            <w:tab/>
          </w:r>
          <w:r>
            <w:fldChar w:fldCharType="begin"/>
          </w:r>
          <w:r>
            <w:instrText xml:space="preserve"> PAGEREF _Toc26126 \h </w:instrText>
          </w:r>
          <w:r>
            <w:fldChar w:fldCharType="separate"/>
          </w:r>
          <w:r>
            <w:t>II</w:t>
          </w:r>
          <w:r>
            <w:fldChar w:fldCharType="end"/>
          </w:r>
          <w:r>
            <w:rPr>
              <w:rFonts w:ascii="Calibri" w:hAnsi="Calibri" w:eastAsia="宋体" w:cs="Times New Roman"/>
              <w:kern w:val="2"/>
              <w:szCs w:val="21"/>
              <w:lang w:val="en-US" w:eastAsia="zh-CN" w:bidi="ar-SA"/>
            </w:rPr>
            <w:fldChar w:fldCharType="end"/>
          </w:r>
        </w:p>
        <w:p w14:paraId="1C4B9757">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_Toc6711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1 </w:t>
          </w:r>
          <w:r>
            <w:rPr>
              <w:rFonts w:hint="eastAsia"/>
            </w:rPr>
            <w:t>范围</w:t>
          </w:r>
          <w:r>
            <w:tab/>
          </w:r>
          <w:r>
            <w:fldChar w:fldCharType="begin"/>
          </w:r>
          <w:r>
            <w:instrText xml:space="preserve"> PAGEREF _Toc6711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26FC3A99">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_Toc16701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_Toc16701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36532FD1">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_Toc5087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_Toc5087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1C7D81A4">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_Toc20045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4 </w:t>
          </w:r>
          <w:r>
            <w:rPr>
              <w:rFonts w:hint="eastAsia"/>
              <w:lang w:val="en-US" w:eastAsia="zh-CN"/>
            </w:rPr>
            <w:t>使用条件</w:t>
          </w:r>
          <w:r>
            <w:tab/>
          </w:r>
          <w:r>
            <w:fldChar w:fldCharType="begin"/>
          </w:r>
          <w:r>
            <w:instrText xml:space="preserve"> PAGEREF _Toc20045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202D062F">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_Toc11187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rPr>
            <w:t xml:space="preserve">4.1 </w:t>
          </w:r>
          <w:r>
            <w:rPr>
              <w:rFonts w:hint="eastAsia"/>
              <w:lang w:val="en-US" w:eastAsia="zh-CN"/>
            </w:rPr>
            <w:t>环境条件</w:t>
          </w:r>
          <w:r>
            <w:tab/>
          </w:r>
          <w:r>
            <w:fldChar w:fldCharType="begin"/>
          </w:r>
          <w:r>
            <w:instrText xml:space="preserve"> PAGEREF _Toc11187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0313D891">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_Toc16991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lang w:val="en-US" w:eastAsia="zh-CN"/>
            </w:rPr>
            <w:t>电气条件</w:t>
          </w:r>
          <w:r>
            <w:tab/>
          </w:r>
          <w:r>
            <w:fldChar w:fldCharType="begin"/>
          </w:r>
          <w:r>
            <w:instrText xml:space="preserve"> PAGEREF _Toc16991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0B44F928">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_Toc13040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4.3 </w:t>
          </w:r>
          <w:r>
            <w:rPr>
              <w:rFonts w:hint="eastAsia"/>
              <w:lang w:val="en-US" w:eastAsia="zh-CN"/>
            </w:rPr>
            <w:t>特殊使用条件</w:t>
          </w:r>
          <w:r>
            <w:tab/>
          </w:r>
          <w:r>
            <w:fldChar w:fldCharType="begin"/>
          </w:r>
          <w:r>
            <w:instrText xml:space="preserve"> PAGEREF _Toc13040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10FDD565">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_Toc16369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5 </w:t>
          </w:r>
          <w:r>
            <w:rPr>
              <w:rFonts w:hint="eastAsia"/>
              <w:lang w:val="en-US" w:eastAsia="zh-CN"/>
            </w:rPr>
            <w:t>技术要求</w:t>
          </w:r>
          <w:r>
            <w:tab/>
          </w:r>
          <w:r>
            <w:fldChar w:fldCharType="begin"/>
          </w:r>
          <w:r>
            <w:instrText xml:space="preserve"> PAGEREF _Toc16369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096DF618">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_Toc18307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5.1 </w:t>
          </w:r>
          <w:r>
            <w:rPr>
              <w:rFonts w:hint="eastAsia"/>
              <w:lang w:val="en-US" w:eastAsia="zh-CN"/>
            </w:rPr>
            <w:t>外观与结构要求</w:t>
          </w:r>
          <w:r>
            <w:tab/>
          </w:r>
          <w:r>
            <w:fldChar w:fldCharType="begin"/>
          </w:r>
          <w:r>
            <w:instrText xml:space="preserve"> PAGEREF _Toc18307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5B848825">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_Toc1273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5.2 </w:t>
          </w:r>
          <w:r>
            <w:rPr>
              <w:rFonts w:hint="eastAsia"/>
              <w:highlight w:val="none"/>
              <w:lang w:val="en-US" w:eastAsia="zh-CN"/>
            </w:rPr>
            <w:t>电气性能</w:t>
          </w:r>
          <w:r>
            <w:tab/>
          </w:r>
          <w:r>
            <w:fldChar w:fldCharType="begin"/>
          </w:r>
          <w:r>
            <w:instrText xml:space="preserve"> PAGEREF _Toc1273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3E49D537">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_Toc28745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5.3 </w:t>
          </w:r>
          <w:r>
            <w:rPr>
              <w:rFonts w:hint="eastAsia"/>
              <w:lang w:val="en-US" w:eastAsia="zh-CN"/>
            </w:rPr>
            <w:t>功能要求</w:t>
          </w:r>
          <w:r>
            <w:tab/>
          </w:r>
          <w:r>
            <w:fldChar w:fldCharType="begin"/>
          </w:r>
          <w:r>
            <w:instrText xml:space="preserve"> PAGEREF _Toc28745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22ECFEDE">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_Toc8885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5.4 </w:t>
          </w:r>
          <w:r>
            <w:rPr>
              <w:rFonts w:hint="eastAsia"/>
              <w:lang w:val="en-US" w:eastAsia="zh-CN"/>
            </w:rPr>
            <w:t>保护功能</w:t>
          </w:r>
          <w:r>
            <w:tab/>
          </w:r>
          <w:r>
            <w:fldChar w:fldCharType="begin"/>
          </w:r>
          <w:r>
            <w:instrText xml:space="preserve"> PAGEREF _Toc8885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43E86070">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_Toc20491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5.5 </w:t>
          </w:r>
          <w:r>
            <w:rPr>
              <w:rFonts w:hint="eastAsia"/>
              <w:lang w:val="en-US" w:eastAsia="zh-CN"/>
            </w:rPr>
            <w:t>电磁兼容性</w:t>
          </w:r>
          <w:r>
            <w:tab/>
          </w:r>
          <w:r>
            <w:fldChar w:fldCharType="begin"/>
          </w:r>
          <w:r>
            <w:instrText xml:space="preserve"> PAGEREF _Toc20491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0B0DF6A5">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_Toc21803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6 </w:t>
          </w:r>
          <w:r>
            <w:rPr>
              <w:rFonts w:hint="eastAsia"/>
              <w:lang w:val="en-US" w:eastAsia="zh-CN"/>
            </w:rPr>
            <w:t>试验方法</w:t>
          </w:r>
          <w:r>
            <w:tab/>
          </w:r>
          <w:r>
            <w:fldChar w:fldCharType="begin"/>
          </w:r>
          <w:r>
            <w:instrText xml:space="preserve"> PAGEREF _Toc21803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1FD23A6D">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_Toc19860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6.1 </w:t>
          </w:r>
          <w:r>
            <w:rPr>
              <w:rFonts w:hint="eastAsia"/>
              <w:lang w:val="en-US" w:eastAsia="zh-CN"/>
            </w:rPr>
            <w:t>外观与结构检查</w:t>
          </w:r>
          <w:r>
            <w:tab/>
          </w:r>
          <w:r>
            <w:fldChar w:fldCharType="begin"/>
          </w:r>
          <w:r>
            <w:instrText xml:space="preserve"> PAGEREF _Toc19860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02224914">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_Toc32620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6.2 </w:t>
          </w:r>
          <w:r>
            <w:rPr>
              <w:rFonts w:hint="eastAsia"/>
              <w:lang w:val="en-US" w:eastAsia="zh-CN"/>
            </w:rPr>
            <w:t>电气性能测试</w:t>
          </w:r>
          <w:r>
            <w:tab/>
          </w:r>
          <w:r>
            <w:fldChar w:fldCharType="begin"/>
          </w:r>
          <w:r>
            <w:instrText xml:space="preserve"> PAGEREF _Toc32620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7073F08A">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_Toc16733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6.3 </w:t>
          </w:r>
          <w:r>
            <w:rPr>
              <w:rFonts w:hint="eastAsia"/>
              <w:lang w:val="en-US" w:eastAsia="zh-CN"/>
            </w:rPr>
            <w:t>功能要求</w:t>
          </w:r>
          <w:r>
            <w:tab/>
          </w:r>
          <w:r>
            <w:fldChar w:fldCharType="begin"/>
          </w:r>
          <w:r>
            <w:instrText xml:space="preserve"> PAGEREF _Toc16733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083880A9">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_Toc15118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6.4 </w:t>
          </w:r>
          <w:r>
            <w:rPr>
              <w:rFonts w:hint="eastAsia"/>
              <w:lang w:val="en-US" w:eastAsia="zh-CN"/>
            </w:rPr>
            <w:t>保护功能</w:t>
          </w:r>
          <w:r>
            <w:tab/>
          </w:r>
          <w:r>
            <w:fldChar w:fldCharType="begin"/>
          </w:r>
          <w:r>
            <w:instrText xml:space="preserve"> PAGEREF _Toc15118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5A9D9FC6">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_Toc32154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6.5 </w:t>
          </w:r>
          <w:r>
            <w:rPr>
              <w:rFonts w:hint="eastAsia"/>
              <w:lang w:val="en-US" w:eastAsia="zh-CN"/>
            </w:rPr>
            <w:t>电磁兼容性</w:t>
          </w:r>
          <w:r>
            <w:tab/>
          </w:r>
          <w:r>
            <w:fldChar w:fldCharType="begin"/>
          </w:r>
          <w:r>
            <w:instrText xml:space="preserve"> PAGEREF _Toc32154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68DF72D7">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_Toc7306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7 </w:t>
          </w:r>
          <w:r>
            <w:rPr>
              <w:rFonts w:hint="eastAsia"/>
              <w:lang w:val="en-US" w:eastAsia="zh-CN"/>
            </w:rPr>
            <w:t>检验规则</w:t>
          </w:r>
          <w:r>
            <w:tab/>
          </w:r>
          <w:r>
            <w:fldChar w:fldCharType="begin"/>
          </w:r>
          <w:r>
            <w:instrText xml:space="preserve"> PAGEREF _Toc7306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24989311">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_Toc27568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7.1 </w:t>
          </w:r>
          <w:r>
            <w:rPr>
              <w:rFonts w:hint="eastAsia"/>
              <w:lang w:val="en-US" w:eastAsia="zh-CN"/>
            </w:rPr>
            <w:t>检验分类</w:t>
          </w:r>
          <w:r>
            <w:tab/>
          </w:r>
          <w:r>
            <w:fldChar w:fldCharType="begin"/>
          </w:r>
          <w:r>
            <w:instrText xml:space="preserve"> PAGEREF _Toc27568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291216B8">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_Toc6994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7.2 </w:t>
          </w:r>
          <w:r>
            <w:rPr>
              <w:rFonts w:hint="eastAsia"/>
              <w:lang w:val="en-US" w:eastAsia="zh-CN"/>
            </w:rPr>
            <w:t>出厂检验</w:t>
          </w:r>
          <w:r>
            <w:tab/>
          </w:r>
          <w:r>
            <w:fldChar w:fldCharType="begin"/>
          </w:r>
          <w:r>
            <w:instrText xml:space="preserve"> PAGEREF _Toc6994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1EBC4877">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_Toc4698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7.3 </w:t>
          </w:r>
          <w:r>
            <w:rPr>
              <w:rFonts w:hint="eastAsia"/>
              <w:lang w:val="en-US" w:eastAsia="zh-CN"/>
            </w:rPr>
            <w:t>型式检验</w:t>
          </w:r>
          <w:r>
            <w:tab/>
          </w:r>
          <w:r>
            <w:fldChar w:fldCharType="begin"/>
          </w:r>
          <w:r>
            <w:instrText xml:space="preserve"> PAGEREF _Toc4698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7D247C49">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_Toc17381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7.4 </w:t>
          </w:r>
          <w:r>
            <w:rPr>
              <w:rFonts w:hint="eastAsia"/>
              <w:lang w:val="en-US" w:eastAsia="zh-CN"/>
            </w:rPr>
            <w:t>检验项目</w:t>
          </w:r>
          <w:r>
            <w:tab/>
          </w:r>
          <w:r>
            <w:fldChar w:fldCharType="begin"/>
          </w:r>
          <w:r>
            <w:instrText xml:space="preserve"> PAGEREF _Toc17381 \h </w:instrText>
          </w:r>
          <w:r>
            <w:fldChar w:fldCharType="separate"/>
          </w:r>
          <w:r>
            <w:t>8</w:t>
          </w:r>
          <w:r>
            <w:fldChar w:fldCharType="end"/>
          </w:r>
          <w:r>
            <w:rPr>
              <w:rFonts w:ascii="Calibri" w:hAnsi="Calibri" w:eastAsia="宋体" w:cs="Times New Roman"/>
              <w:kern w:val="2"/>
              <w:szCs w:val="21"/>
              <w:lang w:val="en-US" w:eastAsia="zh-CN" w:bidi="ar-SA"/>
            </w:rPr>
            <w:fldChar w:fldCharType="end"/>
          </w:r>
        </w:p>
        <w:p w14:paraId="35A765E4">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_Toc12814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7.5 </w:t>
          </w:r>
          <w:r>
            <w:rPr>
              <w:rFonts w:hint="eastAsia"/>
              <w:lang w:val="en-US" w:eastAsia="zh-CN"/>
            </w:rPr>
            <w:t>抽样与判定</w:t>
          </w:r>
          <w:r>
            <w:tab/>
          </w:r>
          <w:r>
            <w:fldChar w:fldCharType="begin"/>
          </w:r>
          <w:r>
            <w:instrText xml:space="preserve"> PAGEREF _Toc12814 \h </w:instrText>
          </w:r>
          <w:r>
            <w:fldChar w:fldCharType="separate"/>
          </w:r>
          <w:r>
            <w:t>9</w:t>
          </w:r>
          <w:r>
            <w:fldChar w:fldCharType="end"/>
          </w:r>
          <w:r>
            <w:rPr>
              <w:rFonts w:ascii="Calibri" w:hAnsi="Calibri" w:eastAsia="宋体" w:cs="Times New Roman"/>
              <w:kern w:val="2"/>
              <w:szCs w:val="21"/>
              <w:lang w:val="en-US" w:eastAsia="zh-CN" w:bidi="ar-SA"/>
            </w:rPr>
            <w:fldChar w:fldCharType="end"/>
          </w:r>
        </w:p>
        <w:p w14:paraId="5E508716">
          <w:pPr>
            <w:pStyle w:val="20"/>
            <w:tabs>
              <w:tab w:val="right" w:leader="dot" w:pos="9355"/>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_Toc19238 </w:instrText>
          </w:r>
          <w:r>
            <w:rPr>
              <w:rFonts w:ascii="Calibri" w:hAnsi="Calibri" w:eastAsia="宋体" w:cs="Times New Roman"/>
              <w:kern w:val="2"/>
              <w:szCs w:val="21"/>
              <w:lang w:val="en-US" w:eastAsia="zh-CN" w:bidi="ar-SA"/>
            </w:rPr>
            <w:fldChar w:fldCharType="separate"/>
          </w:r>
          <w:r>
            <w:rPr>
              <w:rFonts w:hint="eastAsia" w:ascii="黑体" w:eastAsia="黑体"/>
              <w:i w:val="0"/>
              <w:lang w:val="en-US" w:eastAsia="zh-CN"/>
            </w:rPr>
            <w:t xml:space="preserve">8 </w:t>
          </w:r>
          <w:r>
            <w:rPr>
              <w:rFonts w:hint="eastAsia"/>
              <w:lang w:val="en-US" w:eastAsia="zh-CN"/>
            </w:rPr>
            <w:t>标志、包装、运输和贮存</w:t>
          </w:r>
          <w:r>
            <w:tab/>
          </w:r>
          <w:r>
            <w:fldChar w:fldCharType="begin"/>
          </w:r>
          <w:r>
            <w:instrText xml:space="preserve"> PAGEREF _Toc19238 \h </w:instrText>
          </w:r>
          <w:r>
            <w:fldChar w:fldCharType="separate"/>
          </w:r>
          <w:r>
            <w:t>9</w:t>
          </w:r>
          <w:r>
            <w:fldChar w:fldCharType="end"/>
          </w:r>
          <w:r>
            <w:rPr>
              <w:rFonts w:ascii="Calibri" w:hAnsi="Calibri" w:eastAsia="宋体" w:cs="Times New Roman"/>
              <w:kern w:val="2"/>
              <w:szCs w:val="21"/>
              <w:lang w:val="en-US" w:eastAsia="zh-CN" w:bidi="ar-SA"/>
            </w:rPr>
            <w:fldChar w:fldCharType="end"/>
          </w:r>
        </w:p>
        <w:p w14:paraId="361D4917">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_Toc20824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8.1 </w:t>
          </w:r>
          <w:r>
            <w:rPr>
              <w:rFonts w:hint="eastAsia"/>
              <w:lang w:val="en-US" w:eastAsia="zh-CN"/>
            </w:rPr>
            <w:t>标志</w:t>
          </w:r>
          <w:r>
            <w:tab/>
          </w:r>
          <w:r>
            <w:fldChar w:fldCharType="begin"/>
          </w:r>
          <w:r>
            <w:instrText xml:space="preserve"> PAGEREF _Toc20824 \h </w:instrText>
          </w:r>
          <w:r>
            <w:fldChar w:fldCharType="separate"/>
          </w:r>
          <w:r>
            <w:t>9</w:t>
          </w:r>
          <w:r>
            <w:fldChar w:fldCharType="end"/>
          </w:r>
          <w:r>
            <w:rPr>
              <w:rFonts w:ascii="Calibri" w:hAnsi="Calibri" w:eastAsia="宋体" w:cs="Times New Roman"/>
              <w:kern w:val="2"/>
              <w:szCs w:val="21"/>
              <w:lang w:val="en-US" w:eastAsia="zh-CN" w:bidi="ar-SA"/>
            </w:rPr>
            <w:fldChar w:fldCharType="end"/>
          </w:r>
        </w:p>
        <w:p w14:paraId="1FB6F9FE">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_Toc5565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8.2 </w:t>
          </w:r>
          <w:r>
            <w:rPr>
              <w:rFonts w:hint="eastAsia"/>
              <w:lang w:val="en-US" w:eastAsia="zh-CN"/>
            </w:rPr>
            <w:t>包装</w:t>
          </w:r>
          <w:r>
            <w:tab/>
          </w:r>
          <w:r>
            <w:fldChar w:fldCharType="begin"/>
          </w:r>
          <w:r>
            <w:instrText xml:space="preserve"> PAGEREF _Toc5565 \h </w:instrText>
          </w:r>
          <w:r>
            <w:fldChar w:fldCharType="separate"/>
          </w:r>
          <w:r>
            <w:t>9</w:t>
          </w:r>
          <w:r>
            <w:fldChar w:fldCharType="end"/>
          </w:r>
          <w:r>
            <w:rPr>
              <w:rFonts w:ascii="Calibri" w:hAnsi="Calibri" w:eastAsia="宋体" w:cs="Times New Roman"/>
              <w:kern w:val="2"/>
              <w:szCs w:val="21"/>
              <w:lang w:val="en-US" w:eastAsia="zh-CN" w:bidi="ar-SA"/>
            </w:rPr>
            <w:fldChar w:fldCharType="end"/>
          </w:r>
        </w:p>
        <w:p w14:paraId="4B08B8FC">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_Toc8524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8.3 </w:t>
          </w:r>
          <w:r>
            <w:rPr>
              <w:rFonts w:hint="eastAsia"/>
              <w:lang w:val="en-US" w:eastAsia="zh-CN"/>
            </w:rPr>
            <w:t>运输</w:t>
          </w:r>
          <w:r>
            <w:tab/>
          </w:r>
          <w:r>
            <w:fldChar w:fldCharType="begin"/>
          </w:r>
          <w:r>
            <w:instrText xml:space="preserve"> PAGEREF _Toc8524 \h </w:instrText>
          </w:r>
          <w:r>
            <w:fldChar w:fldCharType="separate"/>
          </w:r>
          <w:r>
            <w:t>9</w:t>
          </w:r>
          <w:r>
            <w:fldChar w:fldCharType="end"/>
          </w:r>
          <w:r>
            <w:rPr>
              <w:rFonts w:ascii="Calibri" w:hAnsi="Calibri" w:eastAsia="宋体" w:cs="Times New Roman"/>
              <w:kern w:val="2"/>
              <w:szCs w:val="21"/>
              <w:lang w:val="en-US" w:eastAsia="zh-CN" w:bidi="ar-SA"/>
            </w:rPr>
            <w:fldChar w:fldCharType="end"/>
          </w:r>
        </w:p>
        <w:p w14:paraId="07209D01">
          <w:pPr>
            <w:pStyle w:val="25"/>
            <w:tabs>
              <w:tab w:val="right" w:leader="dot" w:pos="9355"/>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_Toc7000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8.4 </w:t>
          </w:r>
          <w:r>
            <w:rPr>
              <w:rFonts w:hint="eastAsia"/>
              <w:lang w:val="en-US" w:eastAsia="zh-CN"/>
            </w:rPr>
            <w:t>贮存</w:t>
          </w:r>
          <w:r>
            <w:tab/>
          </w:r>
          <w:r>
            <w:fldChar w:fldCharType="begin"/>
          </w:r>
          <w:r>
            <w:instrText xml:space="preserve"> PAGEREF _Toc7000 \h </w:instrText>
          </w:r>
          <w:r>
            <w:fldChar w:fldCharType="separate"/>
          </w:r>
          <w:r>
            <w:t>10</w:t>
          </w:r>
          <w:r>
            <w:fldChar w:fldCharType="end"/>
          </w:r>
          <w:r>
            <w:rPr>
              <w:rFonts w:ascii="Calibri" w:hAnsi="Calibri" w:eastAsia="宋体" w:cs="Times New Roman"/>
              <w:kern w:val="2"/>
              <w:szCs w:val="21"/>
              <w:lang w:val="en-US" w:eastAsia="zh-CN" w:bidi="ar-SA"/>
            </w:rPr>
            <w:fldChar w:fldCharType="end"/>
          </w:r>
        </w:p>
        <w:p w14:paraId="6E7508C7">
          <w:pPr>
            <w:pStyle w:val="92"/>
            <w:spacing w:after="360"/>
            <w:rPr>
              <w:rFonts w:ascii="Calibri" w:hAnsi="Calibri" w:eastAsia="宋体" w:cs="Times New Roman"/>
              <w:kern w:val="2"/>
              <w:sz w:val="21"/>
              <w:szCs w:val="21"/>
              <w:lang w:val="en-US" w:eastAsia="zh-CN" w:bidi="ar-SA"/>
            </w:rPr>
          </w:pPr>
          <w:r>
            <w:rPr>
              <w:rFonts w:ascii="Calibri" w:hAnsi="Calibri" w:eastAsia="宋体" w:cs="Times New Roman"/>
              <w:kern w:val="2"/>
              <w:szCs w:val="21"/>
              <w:lang w:val="en-US" w:eastAsia="zh-CN" w:bidi="ar-SA"/>
            </w:rPr>
            <w:fldChar w:fldCharType="end"/>
          </w:r>
        </w:p>
      </w:sdtContent>
    </w:sdt>
    <w:p w14:paraId="5D5775BC">
      <w:pPr>
        <w:pStyle w:val="92"/>
        <w:spacing w:after="360"/>
        <w:rPr>
          <w:rFonts w:ascii="Calibri" w:hAnsi="Calibri" w:eastAsia="宋体" w:cs="Times New Roman"/>
          <w:kern w:val="2"/>
          <w:sz w:val="21"/>
          <w:szCs w:val="21"/>
          <w:lang w:val="en-US" w:eastAsia="zh-CN" w:bidi="ar-S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6"/>
    <w:p w14:paraId="19327BB6">
      <w:pPr>
        <w:pStyle w:val="90"/>
        <w:spacing w:before="900" w:after="360"/>
      </w:pPr>
      <w:bookmarkStart w:id="28" w:name="_Toc226478795"/>
      <w:bookmarkStart w:id="29" w:name="BookMark2"/>
      <w:r>
        <w:rPr>
          <w:rFonts w:hint="eastAsia"/>
          <w:spacing w:val="320"/>
        </w:rPr>
        <w:t>前</w:t>
      </w:r>
      <w:r>
        <w:rPr>
          <w:rFonts w:hint="eastAsia"/>
        </w:rPr>
        <w:t>言</w:t>
      </w:r>
      <w:bookmarkEnd w:id="17"/>
      <w:bookmarkEnd w:id="18"/>
      <w:bookmarkEnd w:id="19"/>
      <w:bookmarkEnd w:id="20"/>
      <w:bookmarkEnd w:id="21"/>
      <w:bookmarkEnd w:id="22"/>
      <w:bookmarkEnd w:id="23"/>
      <w:bookmarkEnd w:id="24"/>
      <w:bookmarkEnd w:id="25"/>
      <w:bookmarkEnd w:id="26"/>
      <w:bookmarkEnd w:id="27"/>
      <w:bookmarkEnd w:id="28"/>
    </w:p>
    <w:p w14:paraId="40C0BA80">
      <w:pPr>
        <w:pStyle w:val="57"/>
        <w:ind w:firstLine="420"/>
      </w:pPr>
      <w:r>
        <w:rPr>
          <w:rFonts w:hint="eastAsia"/>
        </w:rPr>
        <w:t>本文件按照GB/T 1.1—2020《标准化工作导则  第1部分：标准化文件的结构和起草规则》的规定起草。</w:t>
      </w:r>
    </w:p>
    <w:p w14:paraId="3CBFA1FB">
      <w:pPr>
        <w:pStyle w:val="57"/>
        <w:ind w:firstLine="420"/>
      </w:pPr>
      <w:r>
        <w:rPr>
          <w:rFonts w:hint="eastAsia" w:hAnsi="宋体"/>
          <w:color w:val="000000"/>
        </w:rPr>
        <w:t>请注意本文件的某些内容可能涉及专利。本文件的发布机构不承担识别专利的责任。</w:t>
      </w:r>
    </w:p>
    <w:p w14:paraId="1EB60017">
      <w:pPr>
        <w:pStyle w:val="57"/>
        <w:ind w:firstLine="420"/>
      </w:pPr>
      <w:r>
        <w:rPr>
          <w:rFonts w:hint="eastAsia"/>
        </w:rPr>
        <w:t>本文件由中国欧洲经济技术合作协会提出并归口。</w:t>
      </w:r>
    </w:p>
    <w:p w14:paraId="472E2708">
      <w:pPr>
        <w:pStyle w:val="57"/>
        <w:ind w:firstLine="420"/>
      </w:pPr>
      <w:r>
        <w:rPr>
          <w:rFonts w:hint="eastAsia"/>
        </w:rPr>
        <w:t>本文件起草单位：</w:t>
      </w:r>
    </w:p>
    <w:p w14:paraId="509C2BFB">
      <w:pPr>
        <w:pStyle w:val="57"/>
        <w:ind w:firstLine="420"/>
      </w:pPr>
      <w:r>
        <w:rPr>
          <w:rFonts w:hint="eastAsia"/>
        </w:rPr>
        <w:t>本文件主要起草人：</w:t>
      </w:r>
    </w:p>
    <w:p w14:paraId="1250205E">
      <w:pPr>
        <w:pStyle w:val="57"/>
        <w:ind w:firstLine="420"/>
      </w:pPr>
      <w:r>
        <w:rPr>
          <w:rFonts w:hint="eastAsia"/>
        </w:rPr>
        <w:t>本文件首次发布。</w:t>
      </w:r>
    </w:p>
    <w:p w14:paraId="26F66402">
      <w:pPr>
        <w:pStyle w:val="57"/>
        <w:ind w:firstLine="420"/>
      </w:pPr>
    </w:p>
    <w:p w14:paraId="55675A7F">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9"/>
    <w:p w14:paraId="790795B2">
      <w:pPr>
        <w:spacing w:line="20" w:lineRule="exact"/>
        <w:jc w:val="center"/>
        <w:rPr>
          <w:rFonts w:hint="eastAsia" w:ascii="黑体" w:hAnsi="黑体" w:eastAsia="黑体"/>
          <w:sz w:val="32"/>
          <w:szCs w:val="32"/>
        </w:rPr>
      </w:pPr>
      <w:bookmarkStart w:id="30" w:name="BookMark4"/>
    </w:p>
    <w:p w14:paraId="3306CC85">
      <w:pPr>
        <w:spacing w:line="20" w:lineRule="exact"/>
        <w:jc w:val="center"/>
        <w:rPr>
          <w:rFonts w:hint="eastAsia" w:ascii="黑体" w:hAnsi="黑体" w:eastAsia="黑体"/>
          <w:sz w:val="32"/>
          <w:szCs w:val="32"/>
        </w:rPr>
      </w:pPr>
    </w:p>
    <w:sdt>
      <w:sdtPr>
        <w:tag w:val="NEW_STAND_NAME"/>
        <w:id w:val="595910757"/>
        <w:lock w:val="sdtLocked"/>
        <w:placeholder>
          <w:docPart w:val="C0D87493566345C090A9D2E077F6841D"/>
        </w:placeholder>
      </w:sdtPr>
      <w:sdtContent>
        <w:sdt>
          <w:sdtPr>
            <w:tag w:val="NEW_STAND_NAME"/>
            <w:id w:val="147477155"/>
            <w:lock w:val="sdtLocked"/>
            <w:placeholder>
              <w:docPart w:val="{4c8f8a43-e587-4ccd-839e-fe9e43734060}"/>
            </w:placeholder>
          </w:sdtPr>
          <w:sdtEndPr>
            <w:rPr>
              <w:rFonts w:hint="eastAsia"/>
            </w:rPr>
          </w:sdtEndPr>
          <w:sdtContent>
            <w:p w14:paraId="26E0D1BA">
              <w:pPr>
                <w:pStyle w:val="178"/>
                <w:rPr>
                  <w:rFonts w:hint="eastAsia"/>
                </w:rPr>
              </w:pPr>
              <w:bookmarkStart w:id="31" w:name="NEW_STAND_NAME"/>
              <w:r>
                <w:rPr>
                  <w:rFonts w:hint="eastAsia"/>
                </w:rPr>
                <w:t xml:space="preserve">固态变压器 </w:t>
              </w:r>
              <w:r>
                <w:rPr>
                  <w:rFonts w:hint="eastAsia"/>
                  <w:lang w:val="en-US" w:eastAsia="zh-CN"/>
                </w:rPr>
                <w:t xml:space="preserve"> </w:t>
              </w:r>
              <w:r>
                <w:rPr>
                  <w:rFonts w:hint="eastAsia"/>
                </w:rPr>
                <w:t>第4部分：电动汽车超充网络用固态变压器</w:t>
              </w:r>
            </w:p>
          </w:sdtContent>
        </w:sdt>
      </w:sdtContent>
    </w:sdt>
    <w:bookmarkEnd w:id="30"/>
    <w:bookmarkEnd w:id="31"/>
    <w:p w14:paraId="064EB730">
      <w:pPr>
        <w:pStyle w:val="105"/>
        <w:spacing w:before="240" w:after="240"/>
      </w:pPr>
      <w:bookmarkStart w:id="32" w:name="_Toc26986530"/>
      <w:bookmarkStart w:id="33" w:name="_Toc17233333"/>
      <w:bookmarkStart w:id="34" w:name="_Toc24884218"/>
      <w:bookmarkStart w:id="35" w:name="_Toc148612845"/>
      <w:bookmarkStart w:id="36" w:name="_Toc188371205"/>
      <w:bookmarkStart w:id="37" w:name="_Toc6711"/>
      <w:bookmarkStart w:id="38" w:name="_Toc26718930"/>
      <w:bookmarkStart w:id="39" w:name="_Toc17233325"/>
      <w:bookmarkStart w:id="40" w:name="_Toc150158767"/>
      <w:bookmarkStart w:id="41" w:name="_Toc24884211"/>
      <w:bookmarkStart w:id="42" w:name="_Toc26986771"/>
      <w:bookmarkStart w:id="43" w:name="_Toc95920575"/>
      <w:bookmarkStart w:id="44" w:name="_Toc26648465"/>
      <w:bookmarkStart w:id="45" w:name="_Toc150158740"/>
      <w:bookmarkStart w:id="46" w:name="_Toc95723355"/>
      <w:bookmarkStart w:id="47" w:name="_Toc95920558"/>
      <w:bookmarkStart w:id="48" w:name="BookMark8"/>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Start w:id="103" w:name="_GoBack"/>
      <w:bookmarkEnd w:id="103"/>
    </w:p>
    <w:p w14:paraId="14D66C5B">
      <w:pPr>
        <w:pStyle w:val="57"/>
        <w:ind w:firstLine="420"/>
        <w:rPr>
          <w:highlight w:val="none"/>
        </w:rPr>
      </w:pPr>
      <w:r>
        <w:rPr>
          <w:rFonts w:hint="eastAsia"/>
          <w:highlight w:val="none"/>
        </w:rPr>
        <w:t>本文件规定了电动汽车超充网络用固态变压器的</w:t>
      </w:r>
      <w:r>
        <w:rPr>
          <w:rFonts w:hint="eastAsia"/>
          <w:highlight w:val="none"/>
          <w:lang w:val="en-US" w:eastAsia="zh-CN"/>
        </w:rPr>
        <w:t>使用条件、技术要求、试验方法、检验规则、标志、包装、运输和贮存等</w:t>
      </w:r>
      <w:r>
        <w:rPr>
          <w:rFonts w:hint="eastAsia"/>
          <w:highlight w:val="none"/>
        </w:rPr>
        <w:t>要求。</w:t>
      </w:r>
    </w:p>
    <w:p w14:paraId="01079037">
      <w:pPr>
        <w:pStyle w:val="57"/>
        <w:ind w:firstLine="420"/>
      </w:pPr>
      <w:r>
        <w:rPr>
          <w:rFonts w:hint="eastAsia"/>
        </w:rPr>
        <w:t>本文件适用于电动汽车超充网络用固态变压器</w:t>
      </w:r>
      <w:r>
        <w:rPr>
          <w:rFonts w:hint="eastAsia"/>
          <w:highlight w:val="none"/>
          <w:lang w:eastAsia="zh-CN"/>
        </w:rPr>
        <w:t>（</w:t>
      </w:r>
      <w:r>
        <w:rPr>
          <w:rFonts w:hint="eastAsia"/>
          <w:highlight w:val="none"/>
          <w:lang w:val="en-US" w:eastAsia="zh-CN"/>
        </w:rPr>
        <w:t>以下简称“变压器”</w:t>
      </w:r>
      <w:r>
        <w:rPr>
          <w:rFonts w:hint="eastAsia"/>
          <w:highlight w:val="none"/>
          <w:lang w:eastAsia="zh-CN"/>
        </w:rPr>
        <w:t>）</w:t>
      </w:r>
      <w:r>
        <w:rPr>
          <w:rFonts w:hint="eastAsia"/>
        </w:rPr>
        <w:t>。</w:t>
      </w:r>
    </w:p>
    <w:p w14:paraId="1A344774">
      <w:pPr>
        <w:pStyle w:val="105"/>
        <w:spacing w:before="240" w:after="240"/>
      </w:pPr>
      <w:bookmarkStart w:id="49" w:name="_Toc24884219"/>
      <w:bookmarkStart w:id="50" w:name="_Toc24884212"/>
      <w:bookmarkStart w:id="51" w:name="_Toc16701"/>
      <w:bookmarkStart w:id="52" w:name="_Toc26986772"/>
      <w:bookmarkStart w:id="53" w:name="_Toc17233326"/>
      <w:bookmarkStart w:id="54" w:name="_Toc26718931"/>
      <w:bookmarkStart w:id="55" w:name="_Toc150158768"/>
      <w:bookmarkStart w:id="56" w:name="_Toc95723356"/>
      <w:bookmarkStart w:id="57" w:name="_Toc188371206"/>
      <w:bookmarkStart w:id="58" w:name="_Toc17233334"/>
      <w:bookmarkStart w:id="59" w:name="_Toc95920576"/>
      <w:bookmarkStart w:id="60" w:name="_Toc26986531"/>
      <w:bookmarkStart w:id="61" w:name="_Toc26648466"/>
      <w:bookmarkStart w:id="62" w:name="_Toc95920559"/>
      <w:bookmarkStart w:id="63" w:name="_Toc148612846"/>
      <w:bookmarkStart w:id="64" w:name="_Toc150158741"/>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rPr>
        <w:id w:val="147473628"/>
        <w:placeholder>
          <w:docPart w:val="{f205d3ef-50de-4c8b-8d29-493a73fb83f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2A5ECD4">
          <w:pPr>
            <w:pStyle w:val="57"/>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w:t>
          </w:r>
          <w:r>
            <w:rPr>
              <w:rFonts w:hint="eastAsia"/>
              <w:strike w:val="0"/>
              <w:dstrike w:val="0"/>
              <w:highlight w:val="none"/>
            </w:rPr>
            <w:t>（包括所有的修改单）</w:t>
          </w:r>
          <w:r>
            <w:rPr>
              <w:rFonts w:hint="eastAsia"/>
            </w:rPr>
            <w:t>适用于本文件。</w:t>
          </w:r>
        </w:p>
      </w:sdtContent>
    </w:sdt>
    <w:p w14:paraId="346F0FB2">
      <w:pPr>
        <w:pStyle w:val="57"/>
        <w:ind w:firstLine="420"/>
        <w:rPr>
          <w:rFonts w:hint="default" w:eastAsia="宋体"/>
          <w:lang w:val="en-US" w:eastAsia="zh-CN"/>
        </w:rPr>
      </w:pPr>
      <w:r>
        <w:rPr>
          <w:rFonts w:hint="eastAsia"/>
        </w:rPr>
        <w:t>GB/T 311.1</w:t>
      </w:r>
      <w:r>
        <w:rPr>
          <w:rFonts w:hint="eastAsia"/>
          <w:lang w:val="en-US" w:eastAsia="zh-CN"/>
        </w:rPr>
        <w:t xml:space="preserve">  绝缘配合  第1部分：定义、原则和规则</w:t>
      </w:r>
    </w:p>
    <w:p w14:paraId="11594455">
      <w:pPr>
        <w:pStyle w:val="57"/>
        <w:ind w:firstLine="420"/>
        <w:rPr>
          <w:rFonts w:hint="eastAsia"/>
          <w:lang w:val="en-US" w:eastAsia="zh-CN"/>
        </w:rPr>
      </w:pPr>
      <w:r>
        <w:rPr>
          <w:rFonts w:hint="eastAsia"/>
          <w:lang w:eastAsia="zh-CN"/>
        </w:rPr>
        <w:t xml:space="preserve">GB/T </w:t>
      </w:r>
      <w:r>
        <w:rPr>
          <w:rFonts w:hint="eastAsia"/>
          <w:lang w:val="en-US" w:eastAsia="zh-CN"/>
        </w:rPr>
        <w:t>1094.3  电力变压器  第3部分：绝缘水平、绝缘试验和外绝缘空气间隙</w:t>
      </w:r>
    </w:p>
    <w:p w14:paraId="093583F7">
      <w:pPr>
        <w:pStyle w:val="57"/>
        <w:ind w:firstLine="420"/>
        <w:rPr>
          <w:rFonts w:hint="default"/>
          <w:lang w:val="en-US" w:eastAsia="zh-CN"/>
        </w:rPr>
      </w:pPr>
      <w:r>
        <w:rPr>
          <w:rFonts w:hint="eastAsia"/>
          <w:lang w:eastAsia="zh-CN"/>
        </w:rPr>
        <w:t xml:space="preserve">GB/T </w:t>
      </w:r>
      <w:r>
        <w:rPr>
          <w:rFonts w:hint="eastAsia"/>
          <w:lang w:val="en-US" w:eastAsia="zh-CN"/>
        </w:rPr>
        <w:t>1094.11  电力变压器  第11部分：干式变压器</w:t>
      </w:r>
    </w:p>
    <w:p w14:paraId="1F1D1B39">
      <w:pPr>
        <w:pStyle w:val="57"/>
        <w:ind w:firstLine="420"/>
        <w:rPr>
          <w:rFonts w:hint="eastAsia"/>
          <w:lang w:val="en-US" w:eastAsia="zh-CN"/>
        </w:rPr>
      </w:pPr>
      <w:r>
        <w:rPr>
          <w:rFonts w:hint="eastAsia"/>
          <w:lang w:val="en-US" w:eastAsia="zh-CN"/>
        </w:rPr>
        <w:t>GB/T 4208  外壳防护等级（IP代码）</w:t>
      </w:r>
    </w:p>
    <w:p w14:paraId="747C146A">
      <w:pPr>
        <w:pStyle w:val="57"/>
        <w:ind w:firstLine="420"/>
        <w:rPr>
          <w:rFonts w:hint="default"/>
          <w:lang w:val="en-US" w:eastAsia="zh-CN"/>
        </w:rPr>
      </w:pPr>
      <w:r>
        <w:rPr>
          <w:rFonts w:hint="eastAsia"/>
          <w:lang w:val="en-US" w:eastAsia="zh-CN"/>
        </w:rPr>
        <w:t>GB/T 11021  电气绝缘  耐热性和表示方法</w:t>
      </w:r>
    </w:p>
    <w:p w14:paraId="77702868">
      <w:pPr>
        <w:pStyle w:val="57"/>
        <w:ind w:firstLine="420"/>
        <w:rPr>
          <w:rFonts w:hint="default"/>
          <w:lang w:val="en-US" w:eastAsia="zh-CN"/>
        </w:rPr>
      </w:pPr>
      <w:r>
        <w:rPr>
          <w:rFonts w:hint="eastAsia"/>
          <w:lang w:val="en-US" w:eastAsia="zh-CN"/>
        </w:rPr>
        <w:t>GB/T 13384  机电产品包装通用技术条件</w:t>
      </w:r>
    </w:p>
    <w:p w14:paraId="383C2819">
      <w:pPr>
        <w:pStyle w:val="57"/>
        <w:ind w:firstLine="420"/>
        <w:rPr>
          <w:rFonts w:hint="default"/>
          <w:lang w:val="en-US"/>
        </w:rPr>
      </w:pPr>
      <w:r>
        <w:rPr>
          <w:rFonts w:hint="eastAsia"/>
          <w:lang w:val="en-US" w:eastAsia="zh-CN"/>
        </w:rPr>
        <w:t>GB/T 14598.26  量度继电器和保护装置  第26部分：电磁兼容要求</w:t>
      </w:r>
    </w:p>
    <w:p w14:paraId="73F1C6D3">
      <w:pPr>
        <w:pStyle w:val="57"/>
        <w:ind w:firstLine="420"/>
        <w:rPr>
          <w:rFonts w:hint="default" w:eastAsia="宋体"/>
          <w:lang w:val="en-US" w:eastAsia="zh-CN"/>
        </w:rPr>
      </w:pPr>
      <w:r>
        <w:rPr>
          <w:rFonts w:hint="eastAsia"/>
        </w:rPr>
        <w:t>GB/T 17045</w:t>
      </w:r>
      <w:r>
        <w:rPr>
          <w:rFonts w:hint="eastAsia"/>
          <w:lang w:val="en-US" w:eastAsia="zh-CN"/>
        </w:rPr>
        <w:t xml:space="preserve">  电击防护  装置和设备的通用部分</w:t>
      </w:r>
    </w:p>
    <w:p w14:paraId="792CD33B">
      <w:pPr>
        <w:pStyle w:val="57"/>
        <w:ind w:firstLine="420"/>
        <w:rPr>
          <w:rFonts w:hint="default" w:eastAsia="宋体"/>
          <w:lang w:val="en-US" w:eastAsia="zh-CN"/>
        </w:rPr>
      </w:pPr>
      <w:r>
        <w:rPr>
          <w:rFonts w:hint="eastAsia"/>
        </w:rPr>
        <w:t>GB/T 20234.3</w:t>
      </w:r>
      <w:r>
        <w:rPr>
          <w:rFonts w:hint="eastAsia"/>
          <w:lang w:val="en-US" w:eastAsia="zh-CN"/>
        </w:rPr>
        <w:t xml:space="preserve">  电动汽车传导充电用连接装置  第3部分：直流充电接口</w:t>
      </w:r>
    </w:p>
    <w:p w14:paraId="2A9ACBB8">
      <w:pPr>
        <w:pStyle w:val="57"/>
        <w:ind w:firstLine="420"/>
        <w:rPr>
          <w:rFonts w:hint="eastAsia"/>
          <w:lang w:val="en-US" w:eastAsia="zh-CN"/>
        </w:rPr>
      </w:pPr>
      <w:r>
        <w:rPr>
          <w:rFonts w:hint="eastAsia"/>
        </w:rPr>
        <w:t>GB/T 20234.4</w:t>
      </w:r>
      <w:r>
        <w:rPr>
          <w:rFonts w:hint="eastAsia"/>
          <w:lang w:val="en-US" w:eastAsia="zh-CN"/>
        </w:rPr>
        <w:t xml:space="preserve">  电动汽车传导充电用连接装置  第4部分：大功率直流充电接口</w:t>
      </w:r>
    </w:p>
    <w:p w14:paraId="4FE81B90">
      <w:pPr>
        <w:pStyle w:val="57"/>
        <w:ind w:firstLine="420"/>
        <w:rPr>
          <w:rFonts w:hint="default"/>
          <w:lang w:val="en-US" w:eastAsia="zh-CN"/>
        </w:rPr>
      </w:pPr>
      <w:r>
        <w:rPr>
          <w:rFonts w:hint="eastAsia" w:ascii="宋体" w:hAnsi="宋体" w:eastAsia="宋体" w:cs="宋体"/>
          <w:lang w:val="en-US" w:eastAsia="zh-CN"/>
        </w:rPr>
        <w:t>GB/T</w:t>
      </w:r>
      <w:r>
        <w:rPr>
          <w:rFonts w:hint="eastAsia" w:hAnsi="宋体" w:cs="宋体"/>
          <w:lang w:val="en-US" w:eastAsia="zh-CN"/>
        </w:rPr>
        <w:t xml:space="preserve"> </w:t>
      </w:r>
      <w:r>
        <w:rPr>
          <w:rFonts w:hint="eastAsia" w:ascii="宋体" w:hAnsi="宋体" w:eastAsia="宋体" w:cs="宋体"/>
          <w:lang w:val="en-US" w:eastAsia="zh-CN"/>
        </w:rPr>
        <w:t>20626.1</w:t>
      </w:r>
      <w:r>
        <w:rPr>
          <w:rFonts w:hint="eastAsia" w:hAnsi="宋体" w:cs="宋体"/>
          <w:lang w:val="en-US" w:eastAsia="zh-CN"/>
        </w:rPr>
        <w:t xml:space="preserve">  特殊环境条件  高原电工电子产品  第1部分：通用技术要求</w:t>
      </w:r>
    </w:p>
    <w:p w14:paraId="6732230A">
      <w:pPr>
        <w:pStyle w:val="57"/>
        <w:ind w:firstLine="420"/>
        <w:rPr>
          <w:rFonts w:hint="default" w:eastAsia="宋体"/>
          <w:lang w:val="en-US" w:eastAsia="zh-CN"/>
        </w:rPr>
      </w:pPr>
      <w:r>
        <w:rPr>
          <w:rFonts w:hint="eastAsia"/>
        </w:rPr>
        <w:t>GB/T 26218.1</w:t>
      </w:r>
      <w:r>
        <w:rPr>
          <w:rFonts w:hint="eastAsia"/>
          <w:lang w:val="en-US" w:eastAsia="zh-CN"/>
        </w:rPr>
        <w:t xml:space="preserve">  污秽条件下使用的高压绝缘子的选择和尺寸确定  第1部分：定义、信息和一般原则</w:t>
      </w:r>
    </w:p>
    <w:p w14:paraId="214B3A2A">
      <w:pPr>
        <w:pStyle w:val="57"/>
        <w:ind w:firstLine="420"/>
        <w:rPr>
          <w:rFonts w:hint="default" w:eastAsia="宋体"/>
          <w:lang w:val="en-US" w:eastAsia="zh-CN"/>
        </w:rPr>
      </w:pPr>
      <w:r>
        <w:rPr>
          <w:rFonts w:hint="eastAsia"/>
        </w:rPr>
        <w:t>GB/T 26218.2</w:t>
      </w:r>
      <w:r>
        <w:rPr>
          <w:rFonts w:hint="eastAsia"/>
          <w:lang w:val="en-US" w:eastAsia="zh-CN"/>
        </w:rPr>
        <w:t xml:space="preserve">  污秽条件下使用的高压绝缘子的选择和尺寸确定  第2部分：交流系统用瓷和玻璃绝缘子</w:t>
      </w:r>
    </w:p>
    <w:p w14:paraId="48F4CBC2">
      <w:pPr>
        <w:pStyle w:val="57"/>
        <w:ind w:firstLine="420"/>
        <w:rPr>
          <w:rFonts w:hint="default"/>
          <w:lang w:val="en-US"/>
        </w:rPr>
      </w:pPr>
      <w:r>
        <w:rPr>
          <w:rFonts w:hint="eastAsia"/>
          <w:lang w:val="en-US" w:eastAsia="zh-CN"/>
        </w:rPr>
        <w:t>DL/T 475  接地装置特性参数测量导则</w:t>
      </w:r>
    </w:p>
    <w:p w14:paraId="43AEAEE8">
      <w:pPr>
        <w:pStyle w:val="105"/>
        <w:spacing w:before="240" w:after="240"/>
        <w:jc w:val="left"/>
      </w:pPr>
      <w:bookmarkStart w:id="65" w:name="_Toc5087"/>
      <w:bookmarkStart w:id="66" w:name="_Toc188371207"/>
      <w:bookmarkStart w:id="67" w:name="_Toc95723357"/>
      <w:r>
        <w:rPr>
          <w:rFonts w:hint="eastAsia"/>
        </w:rPr>
        <w:t>术语和定义</w:t>
      </w:r>
      <w:bookmarkEnd w:id="65"/>
      <w:bookmarkEnd w:id="66"/>
    </w:p>
    <w:p w14:paraId="1F78D446">
      <w:pPr>
        <w:pStyle w:val="57"/>
        <w:ind w:firstLine="420"/>
      </w:pPr>
      <w:r>
        <w:rPr>
          <w:rFonts w:hint="eastAsia"/>
        </w:rPr>
        <w:t>下列术语和定义适用于本文件。</w:t>
      </w:r>
    </w:p>
    <w:p w14:paraId="7AFBCFFE">
      <w:pPr>
        <w:pStyle w:val="163"/>
        <w:keepNext w:val="0"/>
        <w:keepLines w:val="0"/>
        <w:pageBreakBefore w:val="0"/>
        <w:widowControl/>
        <w:kinsoku/>
        <w:wordWrap/>
        <w:overflowPunct/>
        <w:topLinePunct w:val="0"/>
        <w:autoSpaceDE/>
        <w:autoSpaceDN/>
        <w:bidi w:val="0"/>
        <w:adjustRightInd/>
        <w:snapToGrid/>
        <w:spacing w:before="0" w:after="0"/>
        <w:textAlignment w:val="auto"/>
      </w:pPr>
    </w:p>
    <w:p w14:paraId="296738B0">
      <w:pPr>
        <w:pStyle w:val="57"/>
        <w:bidi w:val="0"/>
        <w:rPr>
          <w:rFonts w:hint="default" w:ascii="黑体" w:hAnsi="黑体" w:eastAsia="黑体" w:cs="黑体"/>
          <w:highlight w:val="none"/>
          <w:lang w:val="en-US" w:eastAsia="zh-CN"/>
        </w:rPr>
      </w:pPr>
      <w:r>
        <w:rPr>
          <w:rFonts w:hint="eastAsia" w:ascii="黑体" w:hAnsi="黑体" w:eastAsia="黑体" w:cs="黑体"/>
          <w:highlight w:val="none"/>
          <w:lang w:val="en-US" w:eastAsia="zh-CN"/>
        </w:rPr>
        <w:t>固态变压器  solid-state transformer</w:t>
      </w:r>
    </w:p>
    <w:p w14:paraId="7D7A4CDF">
      <w:pPr>
        <w:pStyle w:val="57"/>
        <w:bidi w:val="0"/>
        <w:rPr>
          <w:rFonts w:hint="eastAsia"/>
          <w:highlight w:val="none"/>
          <w:lang w:val="en-US" w:eastAsia="zh-CN"/>
        </w:rPr>
      </w:pPr>
      <w:r>
        <w:rPr>
          <w:rFonts w:hint="eastAsia"/>
          <w:highlight w:val="none"/>
          <w:lang w:val="en-US" w:eastAsia="zh-CN"/>
        </w:rPr>
        <w:t>采用电力电子变换技术与高频隔离技术相结合，具备模块化、智能化、可在中高压工作等特征，能实现电能的高效变换、并网控制及电能质量综合治理的电力电子装置。</w:t>
      </w:r>
    </w:p>
    <w:bookmarkEnd w:id="67"/>
    <w:p w14:paraId="5EE1661B">
      <w:pPr>
        <w:pStyle w:val="105"/>
        <w:spacing w:before="240" w:after="240"/>
      </w:pPr>
      <w:bookmarkStart w:id="68" w:name="_Toc4399"/>
      <w:bookmarkEnd w:id="68"/>
      <w:bookmarkStart w:id="69" w:name="_Toc11597"/>
      <w:bookmarkEnd w:id="69"/>
      <w:bookmarkStart w:id="70" w:name="_Toc28430"/>
      <w:bookmarkEnd w:id="70"/>
      <w:bookmarkStart w:id="71" w:name="_Toc17937"/>
      <w:bookmarkEnd w:id="71"/>
      <w:bookmarkStart w:id="72" w:name="_Toc4088"/>
      <w:bookmarkEnd w:id="72"/>
      <w:bookmarkStart w:id="73" w:name="_Toc17263"/>
      <w:bookmarkEnd w:id="73"/>
      <w:bookmarkStart w:id="74" w:name="_Toc1109"/>
      <w:bookmarkEnd w:id="74"/>
      <w:bookmarkStart w:id="75" w:name="_Toc23413"/>
      <w:bookmarkEnd w:id="75"/>
      <w:bookmarkStart w:id="76" w:name="_Toc20045"/>
      <w:r>
        <w:rPr>
          <w:rFonts w:hint="eastAsia"/>
          <w:lang w:val="en-US" w:eastAsia="zh-CN"/>
        </w:rPr>
        <w:t>使用条件</w:t>
      </w:r>
      <w:bookmarkEnd w:id="76"/>
    </w:p>
    <w:p w14:paraId="16F5F098">
      <w:pPr>
        <w:pStyle w:val="106"/>
        <w:bidi w:val="0"/>
        <w:ind w:left="0" w:leftChars="0" w:firstLine="0" w:firstLineChars="0"/>
        <w:rPr>
          <w:rFonts w:hint="default"/>
          <w:lang w:val="en-US"/>
        </w:rPr>
      </w:pPr>
      <w:bookmarkStart w:id="77" w:name="_Toc11187"/>
      <w:r>
        <w:rPr>
          <w:rFonts w:hint="eastAsia"/>
          <w:lang w:val="en-US" w:eastAsia="zh-CN"/>
        </w:rPr>
        <w:t>环境条件</w:t>
      </w:r>
      <w:bookmarkEnd w:id="77"/>
    </w:p>
    <w:p w14:paraId="7BD3EDB1">
      <w:pPr>
        <w:pStyle w:val="5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变压器的正常使用条件如下</w:t>
      </w:r>
      <w:r>
        <w:rPr>
          <w:rFonts w:hint="eastAsia" w:hAnsi="宋体" w:cs="宋体"/>
          <w:highlight w:val="none"/>
          <w:lang w:val="en-US" w:eastAsia="zh-CN"/>
        </w:rPr>
        <w:t>：</w:t>
      </w:r>
    </w:p>
    <w:p w14:paraId="52EB5A5A">
      <w:pPr>
        <w:pStyle w:val="175"/>
        <w:bidi w:val="0"/>
        <w:rPr>
          <w:rFonts w:hint="eastAsia" w:ascii="宋体" w:hAnsi="宋体" w:eastAsia="宋体" w:cs="宋体"/>
          <w:highlight w:val="none"/>
          <w:lang w:val="en-US" w:eastAsia="zh-CN"/>
        </w:rPr>
      </w:pPr>
      <w:r>
        <w:rPr>
          <w:rFonts w:hint="eastAsia" w:ascii="宋体" w:hAnsi="宋体" w:eastAsia="宋体" w:cs="宋体"/>
          <w:lang w:val="en-US" w:eastAsia="zh-CN"/>
        </w:rPr>
        <w:t>工作环境温度范围</w:t>
      </w:r>
      <w:r>
        <w:rPr>
          <w:rFonts w:hint="eastAsia" w:ascii="宋体" w:hAnsi="宋体" w:eastAsia="宋体" w:cs="宋体"/>
          <w:highlight w:val="none"/>
          <w:lang w:val="en-US" w:eastAsia="zh-CN"/>
        </w:rPr>
        <w:t>：</w:t>
      </w:r>
    </w:p>
    <w:p w14:paraId="47D7F058">
      <w:pPr>
        <w:pStyle w:val="110"/>
        <w:bidi w:val="0"/>
        <w:rPr>
          <w:rFonts w:hint="eastAsia"/>
          <w:lang w:val="en-US" w:eastAsia="zh-CN"/>
        </w:rPr>
      </w:pPr>
      <w:r>
        <w:rPr>
          <w:rFonts w:hint="eastAsia"/>
          <w:lang w:val="en-US" w:eastAsia="zh-CN"/>
        </w:rPr>
        <w:t>室内型：-25℃～＋40℃；</w:t>
      </w:r>
    </w:p>
    <w:p w14:paraId="4B9DD558">
      <w:pPr>
        <w:pStyle w:val="110"/>
        <w:bidi w:val="0"/>
        <w:rPr>
          <w:rFonts w:hint="eastAsia"/>
          <w:lang w:val="en-US" w:eastAsia="zh-CN"/>
        </w:rPr>
      </w:pPr>
      <w:r>
        <w:rPr>
          <w:rFonts w:hint="eastAsia"/>
          <w:lang w:val="en-US" w:eastAsia="zh-CN"/>
        </w:rPr>
        <w:t>室外型：-25℃～＋50℃。</w:t>
      </w:r>
    </w:p>
    <w:p w14:paraId="351C0AD2">
      <w:pPr>
        <w:pStyle w:val="175"/>
        <w:bidi w:val="0"/>
        <w:rPr>
          <w:rFonts w:hint="eastAsia" w:ascii="宋体" w:hAnsi="宋体" w:eastAsia="宋体" w:cs="宋体"/>
          <w:lang w:val="en-US" w:eastAsia="zh-CN"/>
        </w:rPr>
      </w:pPr>
      <w:r>
        <w:rPr>
          <w:rFonts w:hint="eastAsia" w:ascii="宋体" w:hAnsi="宋体" w:eastAsia="宋体" w:cs="宋体"/>
          <w:lang w:val="en-US" w:eastAsia="zh-CN"/>
        </w:rPr>
        <w:t>储存温度范围</w:t>
      </w:r>
      <w:r>
        <w:rPr>
          <w:rFonts w:hint="eastAsia" w:hAnsi="宋体" w:cs="宋体"/>
          <w:lang w:val="en-US" w:eastAsia="zh-CN"/>
        </w:rPr>
        <w:t>：</w:t>
      </w:r>
      <w:r>
        <w:rPr>
          <w:rFonts w:hint="eastAsia" w:ascii="宋体" w:hAnsi="宋体" w:eastAsia="宋体" w:cs="宋体"/>
          <w:lang w:val="en-US" w:eastAsia="zh-CN"/>
        </w:rPr>
        <w:t>-40</w:t>
      </w:r>
      <w:r>
        <w:rPr>
          <w:rFonts w:hint="eastAsia" w:hAnsi="宋体" w:cs="宋体"/>
          <w:lang w:val="en-US" w:eastAsia="zh-CN"/>
        </w:rPr>
        <w:t>℃～</w:t>
      </w:r>
      <w:r>
        <w:rPr>
          <w:rFonts w:hint="eastAsia" w:ascii="宋体" w:hAnsi="宋体" w:eastAsia="宋体" w:cs="宋体"/>
          <w:lang w:val="en-US" w:eastAsia="zh-CN"/>
        </w:rPr>
        <w:t>70</w:t>
      </w:r>
      <w:r>
        <w:rPr>
          <w:rFonts w:hint="eastAsia" w:hAnsi="宋体" w:cs="宋体"/>
          <w:lang w:val="en-US" w:eastAsia="zh-CN"/>
        </w:rPr>
        <w:t>℃；</w:t>
      </w:r>
    </w:p>
    <w:p w14:paraId="5C33481A">
      <w:pPr>
        <w:pStyle w:val="175"/>
        <w:bidi w:val="0"/>
        <w:rPr>
          <w:rFonts w:hint="eastAsia" w:ascii="宋体" w:hAnsi="宋体" w:eastAsia="宋体" w:cs="宋体"/>
          <w:lang w:val="en-US" w:eastAsia="zh-CN"/>
        </w:rPr>
      </w:pPr>
      <w:r>
        <w:rPr>
          <w:rFonts w:hint="eastAsia" w:ascii="宋体" w:hAnsi="宋体" w:eastAsia="宋体" w:cs="宋体"/>
          <w:lang w:val="en-US" w:eastAsia="zh-CN"/>
        </w:rPr>
        <w:t>最高月平均环境温度</w:t>
      </w:r>
      <w:r>
        <w:rPr>
          <w:rFonts w:hint="eastAsia" w:hAnsi="宋体" w:cs="宋体"/>
          <w:lang w:val="en-US" w:eastAsia="zh-CN"/>
        </w:rPr>
        <w:t>：30℃；</w:t>
      </w:r>
    </w:p>
    <w:p w14:paraId="3D1EE832">
      <w:pPr>
        <w:pStyle w:val="175"/>
        <w:bidi w:val="0"/>
        <w:rPr>
          <w:rFonts w:hint="eastAsia" w:ascii="宋体" w:hAnsi="宋体" w:eastAsia="宋体" w:cs="宋体"/>
          <w:lang w:val="en-US" w:eastAsia="zh-CN"/>
        </w:rPr>
      </w:pPr>
      <w:r>
        <w:rPr>
          <w:rFonts w:hint="eastAsia" w:ascii="宋体" w:hAnsi="宋体" w:eastAsia="宋体" w:cs="宋体"/>
          <w:lang w:val="en-US" w:eastAsia="zh-CN"/>
        </w:rPr>
        <w:t>最</w:t>
      </w:r>
      <w:r>
        <w:rPr>
          <w:rFonts w:hint="eastAsia" w:hAnsi="宋体" w:cs="宋体"/>
          <w:lang w:val="en-US" w:eastAsia="zh-CN"/>
        </w:rPr>
        <w:t>高年</w:t>
      </w:r>
      <w:r>
        <w:rPr>
          <w:rFonts w:hint="eastAsia" w:ascii="宋体" w:hAnsi="宋体" w:eastAsia="宋体" w:cs="宋体"/>
          <w:lang w:val="en-US" w:eastAsia="zh-CN"/>
        </w:rPr>
        <w:t>平均环境温度</w:t>
      </w:r>
      <w:r>
        <w:rPr>
          <w:rFonts w:hint="eastAsia" w:hAnsi="宋体" w:cs="宋体"/>
          <w:lang w:val="en-US" w:eastAsia="zh-CN"/>
        </w:rPr>
        <w:t>：20℃；</w:t>
      </w:r>
    </w:p>
    <w:p w14:paraId="7175BE9B">
      <w:pPr>
        <w:pStyle w:val="175"/>
        <w:bidi w:val="0"/>
        <w:rPr>
          <w:rFonts w:hint="eastAsia" w:ascii="宋体" w:hAnsi="宋体" w:eastAsia="宋体" w:cs="宋体"/>
          <w:lang w:val="en-US" w:eastAsia="zh-CN"/>
        </w:rPr>
      </w:pPr>
      <w:r>
        <w:rPr>
          <w:rFonts w:hint="eastAsia" w:ascii="宋体" w:hAnsi="宋体" w:eastAsia="宋体" w:cs="宋体"/>
          <w:lang w:val="en-US" w:eastAsia="zh-CN"/>
        </w:rPr>
        <w:t>最大日温差</w:t>
      </w:r>
      <w:r>
        <w:rPr>
          <w:rFonts w:hint="eastAsia" w:hAnsi="宋体" w:cs="宋体"/>
          <w:lang w:val="en-US" w:eastAsia="zh-CN"/>
        </w:rPr>
        <w:t>：</w:t>
      </w:r>
      <w:r>
        <w:rPr>
          <w:rFonts w:hint="eastAsia" w:ascii="宋体" w:hAnsi="宋体" w:eastAsia="宋体" w:cs="宋体"/>
          <w:lang w:val="en-US" w:eastAsia="zh-CN"/>
        </w:rPr>
        <w:t>25K</w:t>
      </w:r>
      <w:r>
        <w:rPr>
          <w:rFonts w:hint="eastAsia" w:hAnsi="宋体" w:cs="宋体"/>
          <w:lang w:val="en-US" w:eastAsia="zh-CN"/>
        </w:rPr>
        <w:t>；</w:t>
      </w:r>
    </w:p>
    <w:p w14:paraId="41CEF06A">
      <w:pPr>
        <w:pStyle w:val="175"/>
        <w:bidi w:val="0"/>
        <w:rPr>
          <w:rFonts w:hint="eastAsia" w:ascii="宋体" w:hAnsi="宋体" w:eastAsia="宋体" w:cs="宋体"/>
          <w:lang w:val="en-US" w:eastAsia="zh-CN"/>
        </w:rPr>
      </w:pPr>
      <w:r>
        <w:rPr>
          <w:rFonts w:hint="eastAsia" w:ascii="宋体" w:hAnsi="宋体" w:eastAsia="宋体" w:cs="宋体"/>
          <w:lang w:val="en-US" w:eastAsia="zh-CN"/>
        </w:rPr>
        <w:t>海拔高度</w:t>
      </w:r>
      <w:r>
        <w:rPr>
          <w:rFonts w:hint="eastAsia" w:hAnsi="宋体" w:cs="宋体"/>
          <w:lang w:val="en-US" w:eastAsia="zh-CN"/>
        </w:rPr>
        <w:t>：≤</w:t>
      </w:r>
      <w:r>
        <w:rPr>
          <w:rFonts w:hint="eastAsia" w:ascii="宋体" w:hAnsi="宋体" w:eastAsia="宋体" w:cs="宋体"/>
          <w:lang w:val="en-US" w:eastAsia="zh-CN"/>
        </w:rPr>
        <w:t>2000m</w:t>
      </w:r>
      <w:r>
        <w:rPr>
          <w:rFonts w:hint="eastAsia" w:hAnsi="宋体" w:cs="宋体"/>
          <w:lang w:val="en-US" w:eastAsia="zh-CN"/>
        </w:rPr>
        <w:t>；超过</w:t>
      </w:r>
      <w:r>
        <w:rPr>
          <w:rFonts w:hint="eastAsia" w:ascii="宋体" w:hAnsi="宋体" w:eastAsia="宋体" w:cs="宋体"/>
          <w:lang w:val="en-US" w:eastAsia="zh-CN"/>
        </w:rPr>
        <w:t>2000m时属于特殊使用条件，应按GB/T</w:t>
      </w:r>
      <w:r>
        <w:rPr>
          <w:rFonts w:hint="eastAsia" w:hAnsi="宋体" w:cs="宋体"/>
          <w:lang w:val="en-US" w:eastAsia="zh-CN"/>
        </w:rPr>
        <w:t xml:space="preserve"> </w:t>
      </w:r>
      <w:r>
        <w:rPr>
          <w:rFonts w:hint="eastAsia" w:ascii="宋体" w:hAnsi="宋体" w:eastAsia="宋体" w:cs="宋体"/>
          <w:lang w:val="en-US" w:eastAsia="zh-CN"/>
        </w:rPr>
        <w:t>20626.1和GB</w:t>
      </w:r>
      <w:r>
        <w:rPr>
          <w:rFonts w:hint="eastAsia" w:hAnsi="宋体" w:cs="宋体"/>
          <w:lang w:val="en-US" w:eastAsia="zh-CN"/>
        </w:rPr>
        <w:t xml:space="preserve"> </w:t>
      </w:r>
      <w:r>
        <w:rPr>
          <w:rFonts w:hint="eastAsia" w:ascii="宋体" w:hAnsi="宋体" w:eastAsia="宋体" w:cs="宋体"/>
          <w:lang w:val="en-US" w:eastAsia="zh-CN"/>
        </w:rPr>
        <w:t>311.1的规定降</w:t>
      </w:r>
      <w:r>
        <w:rPr>
          <w:rFonts w:hint="eastAsia" w:hAnsi="宋体" w:cs="宋体"/>
          <w:lang w:val="en-US" w:eastAsia="zh-CN"/>
        </w:rPr>
        <w:t>容</w:t>
      </w:r>
      <w:r>
        <w:rPr>
          <w:rFonts w:hint="eastAsia" w:ascii="宋体" w:hAnsi="宋体" w:eastAsia="宋体" w:cs="宋体"/>
          <w:lang w:val="en-US" w:eastAsia="zh-CN"/>
        </w:rPr>
        <w:t>使用</w:t>
      </w:r>
      <w:r>
        <w:rPr>
          <w:rFonts w:hint="eastAsia" w:hAnsi="宋体" w:cs="宋体"/>
          <w:lang w:val="en-US" w:eastAsia="zh-CN"/>
        </w:rPr>
        <w:t>；</w:t>
      </w:r>
    </w:p>
    <w:p w14:paraId="2B491E8F">
      <w:pPr>
        <w:pStyle w:val="175"/>
        <w:bidi w:val="0"/>
        <w:rPr>
          <w:rFonts w:hint="eastAsia" w:ascii="宋体" w:hAnsi="宋体" w:eastAsia="宋体" w:cs="宋体"/>
          <w:lang w:val="en-US" w:eastAsia="zh-CN"/>
        </w:rPr>
      </w:pPr>
      <w:r>
        <w:rPr>
          <w:rFonts w:hint="eastAsia" w:ascii="宋体" w:hAnsi="宋体" w:eastAsia="宋体" w:cs="宋体"/>
          <w:lang w:val="en-US" w:eastAsia="zh-CN"/>
        </w:rPr>
        <w:t>相对湿度</w:t>
      </w:r>
      <w:r>
        <w:rPr>
          <w:rFonts w:hint="eastAsia" w:hAnsi="宋体" w:cs="宋体"/>
          <w:lang w:val="en-US" w:eastAsia="zh-CN"/>
        </w:rPr>
        <w:t>：</w:t>
      </w:r>
      <w:r>
        <w:rPr>
          <w:rFonts w:hint="eastAsia" w:ascii="宋体" w:hAnsi="宋体" w:eastAsia="宋体" w:cs="宋体"/>
          <w:lang w:val="en-US" w:eastAsia="zh-CN"/>
        </w:rPr>
        <w:t>在25</w:t>
      </w:r>
      <w:r>
        <w:rPr>
          <w:rFonts w:hint="eastAsia" w:hAnsi="宋体" w:cs="宋体"/>
          <w:lang w:val="en-US" w:eastAsia="zh-CN"/>
        </w:rPr>
        <w:t>℃</w:t>
      </w:r>
      <w:r>
        <w:rPr>
          <w:rFonts w:hint="eastAsia" w:ascii="宋体" w:hAnsi="宋体" w:eastAsia="宋体" w:cs="宋体"/>
          <w:lang w:val="en-US" w:eastAsia="zh-CN"/>
        </w:rPr>
        <w:t>时，空气相对湿度不超过95%，月平均不超过90%</w:t>
      </w:r>
      <w:r>
        <w:rPr>
          <w:rFonts w:hint="eastAsia" w:hAnsi="宋体" w:cs="宋体"/>
          <w:lang w:val="en-US" w:eastAsia="zh-CN"/>
        </w:rPr>
        <w:t>；</w:t>
      </w:r>
    </w:p>
    <w:p w14:paraId="73F5E7B4">
      <w:pPr>
        <w:pStyle w:val="175"/>
        <w:bidi w:val="0"/>
        <w:rPr>
          <w:rFonts w:hint="eastAsia" w:ascii="宋体" w:hAnsi="宋体" w:eastAsia="宋体" w:cs="宋体"/>
          <w:lang w:val="en-US" w:eastAsia="zh-CN"/>
        </w:rPr>
      </w:pPr>
      <w:r>
        <w:rPr>
          <w:rFonts w:hint="eastAsia" w:ascii="宋体" w:hAnsi="宋体" w:eastAsia="宋体" w:cs="宋体"/>
          <w:lang w:val="en-US" w:eastAsia="zh-CN"/>
        </w:rPr>
        <w:t>污秽等级</w:t>
      </w:r>
      <w:r>
        <w:rPr>
          <w:rFonts w:hint="eastAsia" w:hAnsi="宋体" w:cs="宋体"/>
          <w:lang w:val="en-US" w:eastAsia="zh-CN"/>
        </w:rPr>
        <w:t>：</w:t>
      </w:r>
      <w:r>
        <w:rPr>
          <w:rFonts w:hint="eastAsia" w:ascii="宋体" w:hAnsi="宋体" w:eastAsia="宋体" w:cs="宋体"/>
          <w:lang w:val="en-US" w:eastAsia="zh-CN"/>
        </w:rPr>
        <w:t>不高于d级</w:t>
      </w:r>
      <w:r>
        <w:rPr>
          <w:rFonts w:hint="eastAsia" w:hAnsi="宋体" w:cs="宋体"/>
          <w:lang w:val="en-US" w:eastAsia="zh-CN"/>
        </w:rPr>
        <w:t>；</w:t>
      </w:r>
    </w:p>
    <w:p w14:paraId="077B605E">
      <w:pPr>
        <w:pStyle w:val="175"/>
        <w:bidi w:val="0"/>
        <w:rPr>
          <w:rFonts w:hint="eastAsia" w:ascii="宋体" w:hAnsi="宋体" w:eastAsia="宋体" w:cs="宋体"/>
          <w:lang w:val="en-US" w:eastAsia="zh-CN"/>
        </w:rPr>
      </w:pPr>
      <w:r>
        <w:rPr>
          <w:rFonts w:hint="eastAsia" w:hAnsi="宋体" w:cs="宋体"/>
          <w:lang w:val="en-US" w:eastAsia="zh-CN"/>
        </w:rPr>
        <w:t>地震烈度：不高于8级；</w:t>
      </w:r>
    </w:p>
    <w:p w14:paraId="2AD735C9">
      <w:pPr>
        <w:pStyle w:val="175"/>
        <w:bidi w:val="0"/>
        <w:rPr>
          <w:rFonts w:hint="eastAsia" w:ascii="宋体" w:hAnsi="宋体" w:eastAsia="宋体" w:cs="宋体"/>
          <w:lang w:val="en-US" w:eastAsia="zh-CN"/>
        </w:rPr>
      </w:pPr>
      <w:r>
        <w:rPr>
          <w:rFonts w:hint="eastAsia" w:ascii="宋体" w:hAnsi="宋体" w:eastAsia="宋体" w:cs="宋体"/>
          <w:lang w:val="en-US" w:eastAsia="zh-CN"/>
        </w:rPr>
        <w:t>安装位置</w:t>
      </w:r>
      <w:r>
        <w:rPr>
          <w:rFonts w:hint="eastAsia" w:hAnsi="宋体" w:cs="宋体"/>
          <w:lang w:val="en-US" w:eastAsia="zh-CN"/>
        </w:rPr>
        <w:t>：</w:t>
      </w:r>
      <w:r>
        <w:rPr>
          <w:rFonts w:hint="eastAsia" w:ascii="宋体" w:hAnsi="宋体" w:eastAsia="宋体" w:cs="宋体"/>
          <w:lang w:val="en-US" w:eastAsia="zh-CN"/>
        </w:rPr>
        <w:t>室内或室外有遮蔽场所</w:t>
      </w:r>
      <w:r>
        <w:rPr>
          <w:rFonts w:hint="eastAsia" w:hAnsi="宋体" w:cs="宋体"/>
          <w:lang w:val="en-US" w:eastAsia="zh-CN"/>
        </w:rPr>
        <w:t>；</w:t>
      </w:r>
      <w:r>
        <w:rPr>
          <w:rFonts w:hint="eastAsia" w:ascii="宋体" w:hAnsi="宋体" w:eastAsia="宋体" w:cs="宋体"/>
          <w:lang w:val="en-US" w:eastAsia="zh-CN"/>
        </w:rPr>
        <w:t>室内使用时，周围介质无爆炸及易燃、易爆危险，无腐蚀性气体。</w:t>
      </w:r>
    </w:p>
    <w:p w14:paraId="1FE1DA96">
      <w:pPr>
        <w:pStyle w:val="106"/>
        <w:rPr>
          <w:rFonts w:hint="eastAsia"/>
          <w:lang w:val="en-US" w:eastAsia="zh-CN"/>
        </w:rPr>
      </w:pPr>
      <w:bookmarkStart w:id="78" w:name="_Toc13040"/>
      <w:r>
        <w:rPr>
          <w:rFonts w:hint="eastAsia"/>
          <w:lang w:val="en-US" w:eastAsia="zh-CN"/>
        </w:rPr>
        <w:t>特殊使用条件</w:t>
      </w:r>
      <w:bookmarkEnd w:id="78"/>
    </w:p>
    <w:p w14:paraId="4640AF2A">
      <w:pPr>
        <w:pStyle w:val="57"/>
        <w:rPr>
          <w:rFonts w:hint="eastAsia"/>
          <w:highlight w:val="none"/>
          <w:lang w:val="en-US" w:eastAsia="zh-CN"/>
        </w:rPr>
      </w:pPr>
      <w:r>
        <w:rPr>
          <w:rFonts w:hint="default"/>
          <w:highlight w:val="none"/>
          <w:lang w:val="en-US" w:eastAsia="zh-CN"/>
        </w:rPr>
        <w:t>如存在下述任何一种特殊使用条件，用户应向成套设备制造商提出并协商</w:t>
      </w:r>
      <w:r>
        <w:rPr>
          <w:rFonts w:hint="eastAsia"/>
          <w:highlight w:val="none"/>
          <w:lang w:val="en-US" w:eastAsia="zh-CN"/>
        </w:rPr>
        <w:t>：</w:t>
      </w:r>
    </w:p>
    <w:p w14:paraId="5CA62A94">
      <w:pPr>
        <w:pStyle w:val="175"/>
        <w:numPr>
          <w:ilvl w:val="0"/>
          <w:numId w:val="32"/>
        </w:numPr>
        <w:bidi w:val="0"/>
        <w:rPr>
          <w:rFonts w:hint="eastAsia"/>
          <w:lang w:val="en-US" w:eastAsia="zh-CN"/>
        </w:rPr>
      </w:pPr>
      <w:r>
        <w:rPr>
          <w:rFonts w:hint="eastAsia"/>
          <w:lang w:val="en-US" w:eastAsia="zh-CN"/>
        </w:rPr>
        <w:t>环境温度、海拔、相对湿度与5.1的规定值不同；</w:t>
      </w:r>
    </w:p>
    <w:p w14:paraId="195F2F28">
      <w:pPr>
        <w:pStyle w:val="175"/>
        <w:numPr>
          <w:ilvl w:val="0"/>
          <w:numId w:val="32"/>
        </w:numPr>
        <w:bidi w:val="0"/>
        <w:rPr>
          <w:rFonts w:hint="eastAsia"/>
          <w:lang w:val="en-US" w:eastAsia="zh-CN"/>
        </w:rPr>
      </w:pPr>
      <w:r>
        <w:rPr>
          <w:rFonts w:hint="eastAsia"/>
          <w:lang w:val="en-US" w:eastAsia="zh-CN"/>
        </w:rPr>
        <w:t>设计中需考虑特殊的地震条件；</w:t>
      </w:r>
    </w:p>
    <w:p w14:paraId="57A1319C">
      <w:pPr>
        <w:pStyle w:val="175"/>
        <w:numPr>
          <w:ilvl w:val="0"/>
          <w:numId w:val="32"/>
        </w:numPr>
        <w:bidi w:val="0"/>
        <w:rPr>
          <w:rFonts w:hint="default"/>
          <w:lang w:val="en-US" w:eastAsia="zh-CN"/>
        </w:rPr>
      </w:pPr>
      <w:r>
        <w:rPr>
          <w:rFonts w:hint="eastAsia"/>
          <w:lang w:val="en-US" w:eastAsia="zh-CN"/>
        </w:rPr>
        <w:t>污秽等级与5.1的规定值不同的安装位置。</w:t>
      </w:r>
    </w:p>
    <w:p w14:paraId="5FCC8FF9">
      <w:pPr>
        <w:pStyle w:val="105"/>
        <w:bidi w:val="0"/>
        <w:ind w:left="0" w:leftChars="0" w:firstLine="0" w:firstLineChars="0"/>
        <w:rPr>
          <w:highlight w:val="none"/>
        </w:rPr>
      </w:pPr>
      <w:bookmarkStart w:id="79" w:name="_Toc16369"/>
      <w:r>
        <w:rPr>
          <w:rFonts w:hint="eastAsia"/>
          <w:highlight w:val="none"/>
          <w:lang w:val="en-US" w:eastAsia="zh-CN"/>
        </w:rPr>
        <w:t>技术要求</w:t>
      </w:r>
      <w:bookmarkEnd w:id="79"/>
    </w:p>
    <w:p w14:paraId="5157E445">
      <w:pPr>
        <w:pStyle w:val="106"/>
        <w:rPr>
          <w:rFonts w:hint="eastAsia"/>
          <w:lang w:val="en-US" w:eastAsia="zh-CN"/>
        </w:rPr>
      </w:pPr>
      <w:bookmarkStart w:id="80" w:name="_Toc18307"/>
      <w:r>
        <w:rPr>
          <w:rFonts w:hint="eastAsia"/>
          <w:lang w:val="en-US" w:eastAsia="zh-CN"/>
        </w:rPr>
        <w:t>外观与结构要求</w:t>
      </w:r>
      <w:bookmarkEnd w:id="80"/>
    </w:p>
    <w:p w14:paraId="193AF303">
      <w:pPr>
        <w:pStyle w:val="66"/>
        <w:bidi w:val="0"/>
        <w:ind w:left="0" w:leftChars="0" w:firstLine="0" w:firstLineChars="0"/>
        <w:rPr>
          <w:rFonts w:hint="eastAsia"/>
          <w:lang w:val="en-US" w:eastAsia="zh-CN"/>
        </w:rPr>
      </w:pPr>
      <w:r>
        <w:rPr>
          <w:rFonts w:hint="eastAsia"/>
          <w:lang w:val="en-US" w:eastAsia="zh-CN"/>
        </w:rPr>
        <w:t>外观质量</w:t>
      </w:r>
    </w:p>
    <w:p w14:paraId="13FC308D">
      <w:pPr>
        <w:pStyle w:val="57"/>
        <w:rPr>
          <w:rFonts w:hint="default"/>
          <w:lang w:val="en-US" w:eastAsia="zh-CN"/>
        </w:rPr>
      </w:pPr>
      <w:r>
        <w:rPr>
          <w:rFonts w:hint="eastAsia"/>
          <w:lang w:val="en-US" w:eastAsia="zh-CN"/>
        </w:rPr>
        <w:t>变压器的外观应满足下列要求：</w:t>
      </w:r>
    </w:p>
    <w:p w14:paraId="7C3D12FD">
      <w:pPr>
        <w:pStyle w:val="175"/>
        <w:numPr>
          <w:ilvl w:val="0"/>
          <w:numId w:val="33"/>
        </w:numPr>
        <w:bidi w:val="0"/>
        <w:rPr>
          <w:rFonts w:hint="eastAsia"/>
          <w:lang w:val="en-US" w:eastAsia="zh-CN"/>
        </w:rPr>
      </w:pPr>
      <w:r>
        <w:rPr>
          <w:rFonts w:hint="eastAsia"/>
          <w:lang w:val="en-US" w:eastAsia="zh-CN"/>
        </w:rPr>
        <w:t>设备外壳表面应平整光滑，无明显划痕、变形、锈蚀及涂层脱落现象；</w:t>
      </w:r>
    </w:p>
    <w:p w14:paraId="0EF5B125">
      <w:pPr>
        <w:pStyle w:val="175"/>
        <w:numPr>
          <w:ilvl w:val="0"/>
          <w:numId w:val="33"/>
        </w:numPr>
        <w:bidi w:val="0"/>
        <w:rPr>
          <w:rFonts w:hint="eastAsia"/>
          <w:lang w:val="en-US" w:eastAsia="zh-CN"/>
        </w:rPr>
      </w:pPr>
      <w:r>
        <w:rPr>
          <w:rFonts w:hint="eastAsia"/>
          <w:lang w:val="en-US" w:eastAsia="zh-CN"/>
        </w:rPr>
        <w:t>金属零部件表面处理应均匀，无毛刺、裂纹及损伤；</w:t>
      </w:r>
    </w:p>
    <w:p w14:paraId="299DE9E7">
      <w:pPr>
        <w:pStyle w:val="175"/>
        <w:numPr>
          <w:ilvl w:val="0"/>
          <w:numId w:val="33"/>
        </w:numPr>
        <w:bidi w:val="0"/>
        <w:rPr>
          <w:rFonts w:hint="eastAsia"/>
          <w:lang w:val="en-US" w:eastAsia="zh-CN"/>
        </w:rPr>
      </w:pPr>
      <w:r>
        <w:rPr>
          <w:rFonts w:hint="eastAsia"/>
          <w:lang w:val="en-US" w:eastAsia="zh-CN"/>
        </w:rPr>
        <w:t>标识、铭牌应清晰牢固，不易褪色；</w:t>
      </w:r>
    </w:p>
    <w:p w14:paraId="56F82199">
      <w:pPr>
        <w:pStyle w:val="175"/>
        <w:numPr>
          <w:ilvl w:val="0"/>
          <w:numId w:val="33"/>
        </w:numPr>
        <w:bidi w:val="0"/>
        <w:rPr>
          <w:rFonts w:hint="eastAsia"/>
          <w:lang w:val="en-US" w:eastAsia="zh-CN"/>
        </w:rPr>
      </w:pPr>
      <w:r>
        <w:rPr>
          <w:rFonts w:hint="eastAsia"/>
          <w:lang w:val="en-US" w:eastAsia="zh-CN"/>
        </w:rPr>
        <w:t>所有外露紧固件应采用防松措施，且镀层均匀，无锈蚀。</w:t>
      </w:r>
    </w:p>
    <w:p w14:paraId="749C50B0">
      <w:pPr>
        <w:pStyle w:val="66"/>
        <w:bidi w:val="0"/>
        <w:ind w:left="0" w:leftChars="0" w:firstLine="0" w:firstLineChars="0"/>
        <w:rPr>
          <w:rFonts w:hint="eastAsia"/>
          <w:lang w:val="en-US" w:eastAsia="zh-CN"/>
        </w:rPr>
      </w:pPr>
      <w:r>
        <w:rPr>
          <w:rFonts w:hint="eastAsia"/>
          <w:lang w:val="en-US" w:eastAsia="zh-CN"/>
        </w:rPr>
        <w:t>结构要求</w:t>
      </w:r>
    </w:p>
    <w:p w14:paraId="21FFFBDB">
      <w:pPr>
        <w:pStyle w:val="57"/>
        <w:rPr>
          <w:rFonts w:hint="eastAsia"/>
          <w:lang w:val="en-US" w:eastAsia="zh-CN"/>
        </w:rPr>
      </w:pPr>
      <w:r>
        <w:rPr>
          <w:rFonts w:hint="eastAsia"/>
          <w:lang w:val="en-US" w:eastAsia="zh-CN"/>
        </w:rPr>
        <w:t>变压器的结构应满足下列要求：</w:t>
      </w:r>
    </w:p>
    <w:p w14:paraId="714449CC">
      <w:pPr>
        <w:pStyle w:val="175"/>
        <w:numPr>
          <w:ilvl w:val="0"/>
          <w:numId w:val="34"/>
        </w:numPr>
        <w:bidi w:val="0"/>
        <w:rPr>
          <w:rFonts w:hint="eastAsia"/>
          <w:lang w:val="en-US" w:eastAsia="zh-CN"/>
        </w:rPr>
      </w:pPr>
      <w:r>
        <w:rPr>
          <w:rFonts w:hint="eastAsia"/>
          <w:lang w:val="en-US" w:eastAsia="zh-CN"/>
        </w:rPr>
        <w:t>设备结构应具有足够的机械强度，能承受正常安装、运输和运行时的机械应力；</w:t>
      </w:r>
    </w:p>
    <w:p w14:paraId="56290E69">
      <w:pPr>
        <w:pStyle w:val="175"/>
        <w:numPr>
          <w:ilvl w:val="0"/>
          <w:numId w:val="34"/>
        </w:numPr>
        <w:bidi w:val="0"/>
        <w:rPr>
          <w:rFonts w:hint="eastAsia"/>
          <w:lang w:val="en-US" w:eastAsia="zh-CN"/>
        </w:rPr>
      </w:pPr>
      <w:r>
        <w:rPr>
          <w:rFonts w:hint="eastAsia"/>
          <w:lang w:val="en-US" w:eastAsia="zh-CN"/>
        </w:rPr>
        <w:t>内部元器件布局应合理，便于维护和检修，强弱电回路应有效隔离；</w:t>
      </w:r>
    </w:p>
    <w:p w14:paraId="005D19FC">
      <w:pPr>
        <w:pStyle w:val="175"/>
        <w:numPr>
          <w:ilvl w:val="0"/>
          <w:numId w:val="34"/>
        </w:numPr>
        <w:bidi w:val="0"/>
        <w:rPr>
          <w:rFonts w:hint="eastAsia"/>
          <w:lang w:val="en-US" w:eastAsia="zh-CN"/>
        </w:rPr>
      </w:pPr>
      <w:r>
        <w:rPr>
          <w:rFonts w:hint="eastAsia"/>
          <w:lang w:val="en-US" w:eastAsia="zh-CN"/>
        </w:rPr>
        <w:t>布线应整齐有序，导线标识清晰，固定牢固，绝缘层无损伤；</w:t>
      </w:r>
    </w:p>
    <w:p w14:paraId="3E857F21">
      <w:pPr>
        <w:pStyle w:val="175"/>
        <w:numPr>
          <w:ilvl w:val="0"/>
          <w:numId w:val="34"/>
        </w:numPr>
        <w:bidi w:val="0"/>
        <w:rPr>
          <w:rFonts w:hint="eastAsia"/>
          <w:lang w:val="en-US" w:eastAsia="zh-CN"/>
        </w:rPr>
      </w:pPr>
      <w:r>
        <w:rPr>
          <w:rFonts w:hint="eastAsia"/>
          <w:lang w:val="en-US" w:eastAsia="zh-CN"/>
        </w:rPr>
        <w:t>冷却系统管路连接应牢固密封，无渗漏现象，管路布置不影响其他部件维护；</w:t>
      </w:r>
    </w:p>
    <w:p w14:paraId="52473284">
      <w:pPr>
        <w:pStyle w:val="175"/>
        <w:numPr>
          <w:ilvl w:val="0"/>
          <w:numId w:val="34"/>
        </w:numPr>
        <w:bidi w:val="0"/>
        <w:rPr>
          <w:rFonts w:hint="eastAsia"/>
          <w:lang w:val="en-US" w:eastAsia="zh-CN"/>
        </w:rPr>
      </w:pPr>
      <w:r>
        <w:rPr>
          <w:rFonts w:hint="eastAsia"/>
          <w:lang w:val="en-US" w:eastAsia="zh-CN"/>
        </w:rPr>
        <w:t>门、盖板等可开启部件应具有可靠的锁紧装置，开启角度应不小于90°，且设有位置限位装置；</w:t>
      </w:r>
    </w:p>
    <w:p w14:paraId="22E157E5">
      <w:pPr>
        <w:pStyle w:val="175"/>
        <w:numPr>
          <w:ilvl w:val="0"/>
          <w:numId w:val="34"/>
        </w:numPr>
        <w:bidi w:val="0"/>
        <w:rPr>
          <w:rFonts w:hint="eastAsia"/>
          <w:highlight w:val="none"/>
          <w:lang w:val="en-US" w:eastAsia="zh-CN"/>
        </w:rPr>
      </w:pPr>
      <w:r>
        <w:rPr>
          <w:rFonts w:hint="eastAsia"/>
          <w:highlight w:val="none"/>
          <w:lang w:val="en-US" w:eastAsia="zh-CN"/>
        </w:rPr>
        <w:t>中压侧应设置防带电误开门联锁装置，当设备处于带电状态时，联锁装置应能可靠锁闭对应侧门体，防止误操作开启；门体开启后应能切断对应侧电源，确保维护人员安全。</w:t>
      </w:r>
    </w:p>
    <w:p w14:paraId="5C8B74E2">
      <w:pPr>
        <w:pStyle w:val="66"/>
        <w:bidi w:val="0"/>
        <w:ind w:left="0" w:leftChars="0" w:firstLine="0" w:firstLineChars="0"/>
        <w:rPr>
          <w:rFonts w:hint="eastAsia"/>
          <w:lang w:val="en-US" w:eastAsia="zh-CN"/>
        </w:rPr>
      </w:pPr>
      <w:r>
        <w:rPr>
          <w:rFonts w:hint="eastAsia"/>
          <w:lang w:val="en-US" w:eastAsia="zh-CN"/>
        </w:rPr>
        <w:t>防护等级</w:t>
      </w:r>
    </w:p>
    <w:p w14:paraId="292BBA5B">
      <w:pPr>
        <w:pStyle w:val="57"/>
        <w:rPr>
          <w:rFonts w:hint="eastAsia"/>
          <w:highlight w:val="none"/>
          <w:lang w:val="en-US" w:eastAsia="zh-CN"/>
        </w:rPr>
      </w:pPr>
      <w:r>
        <w:rPr>
          <w:rFonts w:hint="eastAsia"/>
          <w:highlight w:val="none"/>
          <w:lang w:val="en-US" w:eastAsia="zh-CN"/>
        </w:rPr>
        <w:t>变压器的防护等级应满足下列要求：</w:t>
      </w:r>
    </w:p>
    <w:p w14:paraId="3D4C902F">
      <w:pPr>
        <w:pStyle w:val="175"/>
        <w:numPr>
          <w:ilvl w:val="0"/>
          <w:numId w:val="35"/>
        </w:numPr>
        <w:bidi w:val="0"/>
        <w:rPr>
          <w:rFonts w:hint="eastAsia"/>
          <w:highlight w:val="none"/>
          <w:lang w:val="en-US" w:eastAsia="zh-CN"/>
        </w:rPr>
      </w:pPr>
      <w:r>
        <w:rPr>
          <w:rFonts w:hint="eastAsia"/>
          <w:highlight w:val="none"/>
          <w:lang w:val="en-US" w:eastAsia="zh-CN"/>
        </w:rPr>
        <w:t>若设备安装于户内，防护等级应不低于GB/T 4208中规定的IP20；</w:t>
      </w:r>
    </w:p>
    <w:p w14:paraId="51FFC21B">
      <w:pPr>
        <w:pStyle w:val="175"/>
        <w:numPr>
          <w:ilvl w:val="0"/>
          <w:numId w:val="35"/>
        </w:numPr>
        <w:bidi w:val="0"/>
        <w:rPr>
          <w:rFonts w:hint="eastAsia"/>
          <w:highlight w:val="none"/>
          <w:lang w:val="en-US" w:eastAsia="zh-CN"/>
        </w:rPr>
      </w:pPr>
      <w:r>
        <w:rPr>
          <w:rFonts w:hint="eastAsia"/>
          <w:highlight w:val="none"/>
          <w:lang w:val="en-US" w:eastAsia="zh-CN"/>
        </w:rPr>
        <w:t>若设备安装于户外或特殊环境，防护等级应提升至IP54，并采取防紫外线、防盐雾腐蚀措施；</w:t>
      </w:r>
    </w:p>
    <w:p w14:paraId="5D9854F8">
      <w:pPr>
        <w:pStyle w:val="175"/>
        <w:numPr>
          <w:ilvl w:val="0"/>
          <w:numId w:val="35"/>
        </w:numPr>
        <w:bidi w:val="0"/>
        <w:rPr>
          <w:rFonts w:hint="eastAsia"/>
          <w:highlight w:val="none"/>
          <w:lang w:val="en-US" w:eastAsia="zh-CN"/>
        </w:rPr>
      </w:pPr>
      <w:r>
        <w:rPr>
          <w:rFonts w:hint="eastAsia"/>
          <w:highlight w:val="none"/>
          <w:lang w:val="en-US" w:eastAsia="zh-CN"/>
        </w:rPr>
        <w:t>设备内部带电部件对触及防护应符合GB/T 17045中规定的防直接接触和间接接触保护要求；</w:t>
      </w:r>
    </w:p>
    <w:p w14:paraId="1E715C79">
      <w:pPr>
        <w:pStyle w:val="175"/>
        <w:numPr>
          <w:ilvl w:val="0"/>
          <w:numId w:val="35"/>
        </w:numPr>
        <w:bidi w:val="0"/>
        <w:rPr>
          <w:rFonts w:hint="eastAsia"/>
          <w:lang w:val="en-US" w:eastAsia="zh-CN"/>
        </w:rPr>
      </w:pPr>
      <w:r>
        <w:rPr>
          <w:rFonts w:hint="eastAsia"/>
          <w:lang w:val="en-US" w:eastAsia="zh-CN"/>
        </w:rPr>
        <w:t>通风口应设置防尘网，且便于拆卸清洗，防护等级不低于IP4X。</w:t>
      </w:r>
    </w:p>
    <w:p w14:paraId="60E66A4C">
      <w:pPr>
        <w:pStyle w:val="66"/>
        <w:bidi w:val="0"/>
        <w:ind w:left="0" w:leftChars="0" w:firstLine="0" w:firstLineChars="0"/>
        <w:rPr>
          <w:rFonts w:hint="eastAsia"/>
          <w:lang w:val="en-US" w:eastAsia="zh-CN"/>
        </w:rPr>
      </w:pPr>
      <w:r>
        <w:rPr>
          <w:rFonts w:hint="eastAsia"/>
          <w:lang w:val="en-US" w:eastAsia="zh-CN"/>
        </w:rPr>
        <w:t>主电路连接线</w:t>
      </w:r>
    </w:p>
    <w:p w14:paraId="17F1A9ED">
      <w:pPr>
        <w:pStyle w:val="165"/>
        <w:bidi w:val="0"/>
        <w:rPr>
          <w:rFonts w:hint="eastAsia"/>
          <w:lang w:val="en-US" w:eastAsia="zh-CN"/>
        </w:rPr>
      </w:pPr>
      <w:r>
        <w:rPr>
          <w:rFonts w:hint="eastAsia"/>
          <w:lang w:val="en-US" w:eastAsia="zh-CN"/>
        </w:rPr>
        <w:t>主电路连接线（包括本体内部的一次电缆、铜排等）的长期允许电流应不小于1.2倍额定电流。</w:t>
      </w:r>
    </w:p>
    <w:p w14:paraId="349A2163">
      <w:pPr>
        <w:pStyle w:val="165"/>
        <w:bidi w:val="0"/>
        <w:rPr>
          <w:rFonts w:hint="eastAsia"/>
          <w:lang w:val="en-US" w:eastAsia="zh-CN"/>
        </w:rPr>
      </w:pPr>
      <w:r>
        <w:rPr>
          <w:rFonts w:hint="eastAsia"/>
          <w:lang w:val="en-US" w:eastAsia="zh-CN"/>
        </w:rPr>
        <w:t>连接线的连接应牢固，不应自由晃动，布线应整齐、美观。</w:t>
      </w:r>
    </w:p>
    <w:p w14:paraId="2B6DD8D1">
      <w:pPr>
        <w:pStyle w:val="165"/>
        <w:bidi w:val="0"/>
        <w:rPr>
          <w:rFonts w:hint="eastAsia"/>
          <w:lang w:val="en-US" w:eastAsia="zh-CN"/>
        </w:rPr>
      </w:pPr>
      <w:r>
        <w:rPr>
          <w:rFonts w:hint="eastAsia"/>
          <w:lang w:val="en-US" w:eastAsia="zh-CN"/>
        </w:rPr>
        <w:t>连接线的额定电压不得低于相应电路的额定工作电压。</w:t>
      </w:r>
    </w:p>
    <w:p w14:paraId="5F32C4F2">
      <w:pPr>
        <w:pStyle w:val="106"/>
        <w:rPr>
          <w:highlight w:val="none"/>
        </w:rPr>
      </w:pPr>
      <w:bookmarkStart w:id="81" w:name="_Toc1273"/>
      <w:r>
        <w:rPr>
          <w:rFonts w:hint="eastAsia"/>
          <w:highlight w:val="none"/>
          <w:lang w:val="en-US" w:eastAsia="zh-CN"/>
        </w:rPr>
        <w:t>电气性能</w:t>
      </w:r>
      <w:bookmarkEnd w:id="81"/>
    </w:p>
    <w:p w14:paraId="68EB0514">
      <w:pPr>
        <w:pStyle w:val="66"/>
        <w:bidi w:val="0"/>
        <w:rPr>
          <w:rFonts w:hint="eastAsia"/>
          <w:lang w:val="en-US" w:eastAsia="zh-CN"/>
        </w:rPr>
      </w:pPr>
      <w:r>
        <w:rPr>
          <w:rFonts w:hint="eastAsia"/>
        </w:rPr>
        <w:t>功率因数</w:t>
      </w:r>
    </w:p>
    <w:p w14:paraId="1AD50FBC">
      <w:pPr>
        <w:pStyle w:val="57"/>
        <w:rPr>
          <w:rFonts w:hint="default"/>
          <w:lang w:val="en-US" w:eastAsia="zh-CN"/>
        </w:rPr>
      </w:pPr>
      <w:r>
        <w:rPr>
          <w:rFonts w:hint="eastAsia"/>
          <w:lang w:val="en-US" w:eastAsia="zh-CN"/>
        </w:rPr>
        <w:t>额定工况下，变压器功率因数应不低于0.985。</w:t>
      </w:r>
    </w:p>
    <w:p w14:paraId="0692B4D7">
      <w:pPr>
        <w:pStyle w:val="66"/>
      </w:pPr>
      <w:r>
        <w:rPr>
          <w:rFonts w:hint="eastAsia"/>
        </w:rPr>
        <w:t>总谐波畸变率</w:t>
      </w:r>
    </w:p>
    <w:p w14:paraId="750E303E">
      <w:pPr>
        <w:pStyle w:val="57"/>
        <w:rPr>
          <w:rFonts w:hint="eastAsia"/>
          <w:lang w:val="en-US" w:eastAsia="zh-CN"/>
        </w:rPr>
      </w:pPr>
      <w:r>
        <w:rPr>
          <w:rFonts w:hint="eastAsia"/>
          <w:lang w:val="en-US" w:eastAsia="zh-CN"/>
        </w:rPr>
        <w:t>变压器</w:t>
      </w:r>
      <w:r>
        <w:rPr>
          <w:rFonts w:hint="eastAsia"/>
        </w:rPr>
        <w:t>输入电压总谐波畸变率</w:t>
      </w:r>
      <w:r>
        <w:rPr>
          <w:rFonts w:hint="eastAsia"/>
          <w:lang w:val="en-US" w:eastAsia="zh-CN"/>
        </w:rPr>
        <w:t>应</w:t>
      </w:r>
      <w:r>
        <w:rPr>
          <w:rFonts w:hint="eastAsia"/>
        </w:rPr>
        <w:t>不大于5%。</w:t>
      </w:r>
    </w:p>
    <w:p w14:paraId="34D72683">
      <w:pPr>
        <w:pStyle w:val="66"/>
        <w:bidi w:val="0"/>
        <w:rPr>
          <w:rFonts w:hint="eastAsia"/>
          <w:lang w:val="en-US" w:eastAsia="zh-CN"/>
        </w:rPr>
      </w:pPr>
      <w:r>
        <w:rPr>
          <w:rFonts w:hint="eastAsia"/>
          <w:lang w:val="en-US" w:eastAsia="zh-CN"/>
        </w:rPr>
        <w:t>效率</w:t>
      </w:r>
    </w:p>
    <w:p w14:paraId="5701119B">
      <w:pPr>
        <w:pStyle w:val="57"/>
        <w:ind w:firstLine="420"/>
        <w:rPr>
          <w:rFonts w:hint="eastAsia"/>
          <w:highlight w:val="none"/>
          <w:lang w:val="en-US" w:eastAsia="zh-CN"/>
        </w:rPr>
      </w:pPr>
      <w:r>
        <w:rPr>
          <w:rFonts w:hint="eastAsia" w:eastAsia="宋体"/>
          <w:highlight w:val="none"/>
          <w:lang w:val="en-US" w:eastAsia="zh-CN"/>
        </w:rPr>
        <w:t>在额定负载下，</w:t>
      </w:r>
      <w:r>
        <w:rPr>
          <w:rFonts w:hint="eastAsia"/>
          <w:highlight w:val="none"/>
          <w:lang w:val="en-US" w:eastAsia="zh-CN"/>
        </w:rPr>
        <w:t>变压器</w:t>
      </w:r>
      <w:r>
        <w:rPr>
          <w:rFonts w:hint="eastAsia" w:eastAsia="宋体"/>
          <w:highlight w:val="none"/>
          <w:lang w:val="en-US" w:eastAsia="zh-CN"/>
        </w:rPr>
        <w:t>的整体效率应不低于97%；</w:t>
      </w:r>
      <w:r>
        <w:rPr>
          <w:rFonts w:hint="eastAsia"/>
          <w:highlight w:val="none"/>
          <w:lang w:val="en-US" w:eastAsia="zh-CN"/>
        </w:rPr>
        <w:t>不同功率点的效率应符合表1的规定。</w:t>
      </w:r>
    </w:p>
    <w:p w14:paraId="745A682C">
      <w:pPr>
        <w:pStyle w:val="113"/>
        <w:bidi w:val="0"/>
        <w:rPr>
          <w:rFonts w:hint="eastAsia"/>
          <w:lang w:val="en-US" w:eastAsia="zh-CN"/>
        </w:rPr>
      </w:pPr>
      <w:r>
        <w:rPr>
          <w:rFonts w:hint="eastAsia"/>
          <w:lang w:val="en-US" w:eastAsia="zh-CN"/>
        </w:rPr>
        <w:t>不同功率点的效率</w:t>
      </w:r>
    </w:p>
    <w:tbl>
      <w:tblPr>
        <w:tblStyle w:val="28"/>
        <w:tblW w:w="4088" w:type="pct"/>
        <w:tblInd w:w="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189"/>
        <w:gridCol w:w="1572"/>
      </w:tblGrid>
      <w:tr w14:paraId="35AE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pct"/>
            <w:vAlign w:val="center"/>
          </w:tcPr>
          <w:p w14:paraId="3023EC15">
            <w:pPr>
              <w:pStyle w:val="179"/>
              <w:bidi w:val="0"/>
              <w:rPr>
                <w:rFonts w:hint="default"/>
                <w:lang w:val="en-US" w:eastAsia="zh-CN"/>
              </w:rPr>
            </w:pPr>
            <w:r>
              <w:rPr>
                <w:rFonts w:hint="eastAsia"/>
                <w:lang w:val="en-US" w:eastAsia="zh-CN"/>
              </w:rPr>
              <w:t>负载率/%</w:t>
            </w:r>
          </w:p>
        </w:tc>
        <w:tc>
          <w:tcPr>
            <w:tcW w:w="2037" w:type="pct"/>
            <w:vAlign w:val="center"/>
          </w:tcPr>
          <w:p w14:paraId="54880BD7">
            <w:pPr>
              <w:pStyle w:val="179"/>
              <w:bidi w:val="0"/>
              <w:rPr>
                <w:rFonts w:hint="default"/>
                <w:lang w:val="en-US" w:eastAsia="zh-CN"/>
              </w:rPr>
            </w:pPr>
            <w:r>
              <w:rPr>
                <w:rFonts w:hint="eastAsia"/>
                <w:lang w:val="en-US" w:eastAsia="zh-CN"/>
              </w:rPr>
              <w:t>效率/%</w:t>
            </w:r>
          </w:p>
        </w:tc>
        <w:tc>
          <w:tcPr>
            <w:tcW w:w="1004" w:type="pct"/>
            <w:vAlign w:val="center"/>
          </w:tcPr>
          <w:p w14:paraId="6149A285">
            <w:pPr>
              <w:pStyle w:val="179"/>
              <w:bidi w:val="0"/>
              <w:rPr>
                <w:rFonts w:hint="default"/>
                <w:lang w:val="en-US" w:eastAsia="zh-CN"/>
              </w:rPr>
            </w:pPr>
            <w:r>
              <w:rPr>
                <w:rFonts w:hint="eastAsia"/>
                <w:lang w:val="en-US" w:eastAsia="zh-CN"/>
              </w:rPr>
              <w:t>备注</w:t>
            </w:r>
          </w:p>
        </w:tc>
      </w:tr>
      <w:tr w14:paraId="3B31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957" w:type="pct"/>
            <w:vAlign w:val="center"/>
          </w:tcPr>
          <w:p w14:paraId="665DB73C">
            <w:pPr>
              <w:pStyle w:val="179"/>
              <w:bidi w:val="0"/>
              <w:rPr>
                <w:rFonts w:hint="default"/>
                <w:lang w:val="en-US" w:eastAsia="zh-CN"/>
              </w:rPr>
            </w:pPr>
            <w:r>
              <w:rPr>
                <w:rFonts w:hint="eastAsia"/>
                <w:lang w:val="en-US" w:eastAsia="zh-CN"/>
              </w:rPr>
              <w:t>25</w:t>
            </w:r>
          </w:p>
        </w:tc>
        <w:tc>
          <w:tcPr>
            <w:tcW w:w="2037" w:type="pct"/>
            <w:vAlign w:val="center"/>
          </w:tcPr>
          <w:p w14:paraId="297AC49C">
            <w:pPr>
              <w:pStyle w:val="179"/>
              <w:bidi w:val="0"/>
              <w:rPr>
                <w:rFonts w:hint="default"/>
                <w:lang w:val="en-US" w:eastAsia="zh-CN"/>
              </w:rPr>
            </w:pPr>
            <w:r>
              <w:rPr>
                <w:rFonts w:hint="eastAsia"/>
                <w:lang w:val="en-US" w:eastAsia="zh-CN"/>
              </w:rPr>
              <w:t>97</w:t>
            </w:r>
          </w:p>
        </w:tc>
        <w:tc>
          <w:tcPr>
            <w:tcW w:w="1004" w:type="pct"/>
            <w:vAlign w:val="center"/>
          </w:tcPr>
          <w:p w14:paraId="0B73FC5D">
            <w:pPr>
              <w:pStyle w:val="179"/>
              <w:bidi w:val="0"/>
              <w:rPr>
                <w:rFonts w:hint="eastAsia"/>
                <w:lang w:val="en-US" w:eastAsia="zh-CN"/>
              </w:rPr>
            </w:pPr>
          </w:p>
        </w:tc>
      </w:tr>
      <w:tr w14:paraId="53EA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pct"/>
            <w:vAlign w:val="center"/>
          </w:tcPr>
          <w:p w14:paraId="57C3C083">
            <w:pPr>
              <w:pStyle w:val="179"/>
              <w:bidi w:val="0"/>
              <w:rPr>
                <w:rFonts w:hint="default"/>
                <w:lang w:val="en-US" w:eastAsia="zh-CN"/>
              </w:rPr>
            </w:pPr>
            <w:r>
              <w:rPr>
                <w:rFonts w:hint="eastAsia"/>
                <w:lang w:val="en-US" w:eastAsia="zh-CN"/>
              </w:rPr>
              <w:t>50</w:t>
            </w:r>
          </w:p>
        </w:tc>
        <w:tc>
          <w:tcPr>
            <w:tcW w:w="2037" w:type="pct"/>
            <w:vAlign w:val="center"/>
          </w:tcPr>
          <w:p w14:paraId="53EE7900">
            <w:pPr>
              <w:pStyle w:val="179"/>
              <w:bidi w:val="0"/>
              <w:rPr>
                <w:rFonts w:hint="default"/>
                <w:lang w:val="en-US" w:eastAsia="zh-CN"/>
              </w:rPr>
            </w:pPr>
            <w:r>
              <w:rPr>
                <w:rFonts w:hint="eastAsia"/>
                <w:lang w:val="en-US" w:eastAsia="zh-CN"/>
              </w:rPr>
              <w:t>98</w:t>
            </w:r>
          </w:p>
        </w:tc>
        <w:tc>
          <w:tcPr>
            <w:tcW w:w="1004" w:type="pct"/>
            <w:vAlign w:val="center"/>
          </w:tcPr>
          <w:p w14:paraId="640E5D00">
            <w:pPr>
              <w:pStyle w:val="179"/>
              <w:bidi w:val="0"/>
              <w:rPr>
                <w:rFonts w:hint="eastAsia"/>
                <w:lang w:val="en-US" w:eastAsia="zh-CN"/>
              </w:rPr>
            </w:pPr>
          </w:p>
        </w:tc>
      </w:tr>
      <w:tr w14:paraId="026B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pct"/>
            <w:vAlign w:val="center"/>
          </w:tcPr>
          <w:p w14:paraId="51FDED45">
            <w:pPr>
              <w:pStyle w:val="179"/>
              <w:bidi w:val="0"/>
              <w:rPr>
                <w:rFonts w:hint="default"/>
                <w:lang w:val="en-US" w:eastAsia="zh-CN"/>
              </w:rPr>
            </w:pPr>
            <w:r>
              <w:rPr>
                <w:rFonts w:hint="eastAsia"/>
                <w:lang w:val="en-US" w:eastAsia="zh-CN"/>
              </w:rPr>
              <w:t>75</w:t>
            </w:r>
          </w:p>
        </w:tc>
        <w:tc>
          <w:tcPr>
            <w:tcW w:w="2037" w:type="pct"/>
            <w:vAlign w:val="center"/>
          </w:tcPr>
          <w:p w14:paraId="1F1225B9">
            <w:pPr>
              <w:pStyle w:val="179"/>
              <w:bidi w:val="0"/>
              <w:rPr>
                <w:rFonts w:hint="default"/>
                <w:lang w:val="en-US" w:eastAsia="zh-CN"/>
              </w:rPr>
            </w:pPr>
            <w:r>
              <w:rPr>
                <w:rFonts w:hint="eastAsia"/>
                <w:lang w:val="en-US" w:eastAsia="zh-CN"/>
              </w:rPr>
              <w:t>97.8</w:t>
            </w:r>
          </w:p>
        </w:tc>
        <w:tc>
          <w:tcPr>
            <w:tcW w:w="1004" w:type="pct"/>
            <w:vAlign w:val="center"/>
          </w:tcPr>
          <w:p w14:paraId="6C7FA4C1">
            <w:pPr>
              <w:pStyle w:val="179"/>
              <w:bidi w:val="0"/>
              <w:rPr>
                <w:rFonts w:hint="eastAsia"/>
                <w:lang w:val="en-US" w:eastAsia="zh-CN"/>
              </w:rPr>
            </w:pPr>
          </w:p>
        </w:tc>
      </w:tr>
      <w:tr w14:paraId="78CD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pct"/>
            <w:vAlign w:val="center"/>
          </w:tcPr>
          <w:p w14:paraId="71177A82">
            <w:pPr>
              <w:pStyle w:val="179"/>
              <w:bidi w:val="0"/>
              <w:rPr>
                <w:rFonts w:hint="default"/>
                <w:lang w:val="en-US" w:eastAsia="zh-CN"/>
              </w:rPr>
            </w:pPr>
            <w:r>
              <w:rPr>
                <w:rFonts w:hint="eastAsia"/>
                <w:lang w:val="en-US" w:eastAsia="zh-CN"/>
              </w:rPr>
              <w:t>100</w:t>
            </w:r>
          </w:p>
        </w:tc>
        <w:tc>
          <w:tcPr>
            <w:tcW w:w="2037" w:type="pct"/>
            <w:vAlign w:val="center"/>
          </w:tcPr>
          <w:p w14:paraId="71970797">
            <w:pPr>
              <w:pStyle w:val="179"/>
              <w:bidi w:val="0"/>
              <w:rPr>
                <w:rFonts w:hint="default"/>
                <w:lang w:val="en-US" w:eastAsia="zh-CN"/>
              </w:rPr>
            </w:pPr>
            <w:r>
              <w:rPr>
                <w:rFonts w:hint="eastAsia"/>
                <w:lang w:val="en-US" w:eastAsia="zh-CN"/>
              </w:rPr>
              <w:t>97.5</w:t>
            </w:r>
          </w:p>
        </w:tc>
        <w:tc>
          <w:tcPr>
            <w:tcW w:w="1004" w:type="pct"/>
            <w:vAlign w:val="center"/>
          </w:tcPr>
          <w:p w14:paraId="4AF20499">
            <w:pPr>
              <w:pStyle w:val="179"/>
              <w:bidi w:val="0"/>
              <w:rPr>
                <w:rFonts w:hint="eastAsia"/>
                <w:lang w:val="en-US" w:eastAsia="zh-CN"/>
              </w:rPr>
            </w:pPr>
          </w:p>
        </w:tc>
      </w:tr>
    </w:tbl>
    <w:p w14:paraId="27A93AC0">
      <w:pPr>
        <w:pStyle w:val="66"/>
        <w:bidi w:val="0"/>
        <w:ind w:left="0" w:leftChars="0" w:firstLine="0" w:firstLineChars="0"/>
        <w:rPr>
          <w:rFonts w:hint="default"/>
          <w:lang w:val="en-US" w:eastAsia="zh-CN"/>
        </w:rPr>
      </w:pPr>
      <w:r>
        <w:rPr>
          <w:rFonts w:hint="eastAsia"/>
          <w:lang w:val="en-US" w:eastAsia="zh-CN"/>
        </w:rPr>
        <w:t>电压调节能力</w:t>
      </w:r>
    </w:p>
    <w:p w14:paraId="3C4C3688">
      <w:pPr>
        <w:pStyle w:val="165"/>
        <w:bidi w:val="0"/>
        <w:rPr>
          <w:rFonts w:hint="eastAsia" w:ascii="宋体" w:hAnsi="宋体" w:eastAsia="宋体" w:cs="宋体"/>
          <w:lang w:val="en-US" w:eastAsia="zh-CN"/>
        </w:rPr>
      </w:pPr>
      <w:r>
        <w:rPr>
          <w:rFonts w:hint="eastAsia" w:ascii="宋体" w:hAnsi="宋体" w:eastAsia="宋体" w:cs="宋体"/>
          <w:lang w:val="en-US" w:eastAsia="zh-CN"/>
        </w:rPr>
        <w:t>输出电压调节范围应满足不同类型电动汽车的需求，调节精度不低于±2%。</w:t>
      </w:r>
    </w:p>
    <w:p w14:paraId="7BEBFDD8">
      <w:pPr>
        <w:pStyle w:val="165"/>
        <w:bidi w:val="0"/>
        <w:rPr>
          <w:rFonts w:hint="eastAsia" w:ascii="宋体" w:hAnsi="宋体" w:eastAsia="宋体" w:cs="宋体"/>
          <w:lang w:val="en-US" w:eastAsia="zh-CN"/>
        </w:rPr>
      </w:pPr>
      <w:r>
        <w:rPr>
          <w:rFonts w:hint="eastAsia" w:ascii="宋体" w:hAnsi="宋体" w:eastAsia="宋体" w:cs="宋体"/>
          <w:lang w:val="en-US" w:eastAsia="zh-CN"/>
        </w:rPr>
        <w:t>当输入电压在允许偏差范围内波动时，输出电压的稳态偏差应不超过额定值的±1%。</w:t>
      </w:r>
    </w:p>
    <w:p w14:paraId="1C35C3AC">
      <w:pPr>
        <w:pStyle w:val="66"/>
        <w:bidi w:val="0"/>
        <w:ind w:left="0" w:leftChars="0" w:firstLine="0" w:firstLineChars="0"/>
      </w:pPr>
      <w:r>
        <w:rPr>
          <w:rFonts w:hint="eastAsia"/>
          <w:lang w:val="en-US" w:eastAsia="zh-CN"/>
        </w:rPr>
        <w:t>电气安全距离</w:t>
      </w:r>
    </w:p>
    <w:p w14:paraId="56E7EF33">
      <w:pPr>
        <w:pStyle w:val="165"/>
        <w:bidi w:val="0"/>
      </w:pPr>
      <w:r>
        <w:rPr>
          <w:rFonts w:hint="eastAsia"/>
        </w:rPr>
        <w:t>两带电导体之间、带电导体与裸露的不带电导体之间的最小距离，均应满足表</w:t>
      </w:r>
      <w:r>
        <w:rPr>
          <w:rFonts w:hint="eastAsia"/>
          <w:lang w:val="en-US" w:eastAsia="zh-CN"/>
        </w:rPr>
        <w:t>2</w:t>
      </w:r>
      <w:r>
        <w:rPr>
          <w:rFonts w:hint="eastAsia"/>
        </w:rPr>
        <w:t>中规定的最小电气间隙与爬电距离的要求。</w:t>
      </w:r>
    </w:p>
    <w:p w14:paraId="1AD0636D">
      <w:pPr>
        <w:pStyle w:val="113"/>
        <w:spacing w:before="120" w:after="120"/>
        <w:ind w:left="0"/>
      </w:pPr>
      <w:r>
        <w:rPr>
          <w:rFonts w:hint="eastAsia"/>
        </w:rPr>
        <w:t>电气间隙与爬电距离</w:t>
      </w:r>
    </w:p>
    <w:tbl>
      <w:tblPr>
        <w:tblStyle w:val="232"/>
        <w:tblW w:w="47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9"/>
        <w:gridCol w:w="2637"/>
        <w:gridCol w:w="2305"/>
        <w:gridCol w:w="2306"/>
      </w:tblGrid>
      <w:tr w14:paraId="2AD7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94" w:type="pct"/>
            <w:vAlign w:val="center"/>
          </w:tcPr>
          <w:p w14:paraId="478315A7">
            <w:pPr>
              <w:pStyle w:val="179"/>
              <w:bidi w:val="0"/>
              <w:spacing w:after="160" w:line="278" w:lineRule="auto"/>
              <w:rPr>
                <w:snapToGrid w:val="0"/>
                <w:color w:val="000000"/>
                <w:szCs w:val="21"/>
                <w:lang w:eastAsia="en-US"/>
              </w:rPr>
            </w:pPr>
            <w:r>
              <w:rPr>
                <w:rFonts w:hint="eastAsia"/>
                <w:snapToGrid w:val="0"/>
                <w:color w:val="000000"/>
                <w:szCs w:val="21"/>
                <w:lang w:eastAsia="en-US"/>
              </w:rPr>
              <w:t>电压等级分类</w:t>
            </w:r>
          </w:p>
        </w:tc>
        <w:tc>
          <w:tcPr>
            <w:tcW w:w="1493" w:type="pct"/>
            <w:vAlign w:val="center"/>
          </w:tcPr>
          <w:p w14:paraId="2F21C34E">
            <w:pPr>
              <w:pStyle w:val="179"/>
              <w:bidi w:val="0"/>
              <w:spacing w:after="160" w:line="278" w:lineRule="auto"/>
              <w:rPr>
                <w:snapToGrid w:val="0"/>
                <w:color w:val="000000"/>
                <w:szCs w:val="21"/>
                <w:lang w:eastAsia="en-US"/>
              </w:rPr>
            </w:pPr>
            <w:r>
              <w:rPr>
                <w:snapToGrid w:val="0"/>
                <w:color w:val="000000"/>
                <w:szCs w:val="21"/>
                <w:lang w:eastAsia="en-US"/>
              </w:rPr>
              <w:t>额定电压Ui</w:t>
            </w:r>
            <w:r>
              <w:rPr>
                <w:rFonts w:hint="eastAsia"/>
                <w:snapToGrid w:val="0"/>
                <w:color w:val="000000"/>
                <w:szCs w:val="21"/>
                <w:lang w:val="en-US" w:eastAsia="zh-CN"/>
              </w:rPr>
              <w:t>/</w:t>
            </w:r>
            <w:r>
              <w:rPr>
                <w:snapToGrid w:val="0"/>
                <w:color w:val="000000"/>
                <w:szCs w:val="21"/>
                <w:lang w:eastAsia="en-US"/>
              </w:rPr>
              <w:t>（V）</w:t>
            </w:r>
          </w:p>
        </w:tc>
        <w:tc>
          <w:tcPr>
            <w:tcW w:w="1305" w:type="pct"/>
            <w:vAlign w:val="center"/>
          </w:tcPr>
          <w:p w14:paraId="00214D7C">
            <w:pPr>
              <w:pStyle w:val="179"/>
              <w:bidi w:val="0"/>
              <w:spacing w:after="160" w:line="278" w:lineRule="auto"/>
              <w:rPr>
                <w:snapToGrid w:val="0"/>
                <w:color w:val="000000"/>
                <w:szCs w:val="21"/>
                <w:lang w:eastAsia="en-US"/>
              </w:rPr>
            </w:pPr>
            <w:r>
              <w:rPr>
                <w:snapToGrid w:val="0"/>
                <w:color w:val="000000"/>
                <w:szCs w:val="21"/>
                <w:lang w:eastAsia="en-US"/>
              </w:rPr>
              <w:t>电气间隙（mm）</w:t>
            </w:r>
          </w:p>
        </w:tc>
        <w:tc>
          <w:tcPr>
            <w:tcW w:w="1305" w:type="pct"/>
            <w:vAlign w:val="center"/>
          </w:tcPr>
          <w:p w14:paraId="3CE4A696">
            <w:pPr>
              <w:pStyle w:val="179"/>
              <w:bidi w:val="0"/>
              <w:spacing w:after="160" w:line="278" w:lineRule="auto"/>
              <w:rPr>
                <w:snapToGrid w:val="0"/>
                <w:color w:val="000000"/>
                <w:szCs w:val="21"/>
                <w:lang w:eastAsia="en-US"/>
              </w:rPr>
            </w:pPr>
            <w:r>
              <w:rPr>
                <w:snapToGrid w:val="0"/>
                <w:color w:val="000000"/>
                <w:szCs w:val="21"/>
                <w:lang w:eastAsia="en-US"/>
              </w:rPr>
              <w:t>爬电距离（mm）</w:t>
            </w:r>
          </w:p>
        </w:tc>
      </w:tr>
      <w:tr w14:paraId="4E84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94" w:type="pct"/>
            <w:vMerge w:val="restart"/>
            <w:vAlign w:val="center"/>
          </w:tcPr>
          <w:p w14:paraId="2DC28D5F">
            <w:pPr>
              <w:pStyle w:val="179"/>
              <w:bidi w:val="0"/>
              <w:spacing w:after="160" w:line="278" w:lineRule="auto"/>
              <w:rPr>
                <w:snapToGrid w:val="0"/>
                <w:color w:val="000000"/>
                <w:szCs w:val="21"/>
                <w:lang w:eastAsia="en-US"/>
              </w:rPr>
            </w:pPr>
            <w:r>
              <w:rPr>
                <w:rFonts w:hint="eastAsia"/>
                <w:snapToGrid w:val="0"/>
                <w:color w:val="000000"/>
                <w:szCs w:val="21"/>
                <w:lang w:eastAsia="en-US"/>
              </w:rPr>
              <w:t>低压</w:t>
            </w:r>
          </w:p>
        </w:tc>
        <w:tc>
          <w:tcPr>
            <w:tcW w:w="1493" w:type="pct"/>
            <w:vAlign w:val="center"/>
          </w:tcPr>
          <w:p w14:paraId="1BB63760">
            <w:pPr>
              <w:pStyle w:val="179"/>
              <w:bidi w:val="0"/>
              <w:spacing w:after="160" w:line="278" w:lineRule="auto"/>
              <w:rPr>
                <w:snapToGrid w:val="0"/>
                <w:color w:val="000000"/>
                <w:szCs w:val="21"/>
                <w:lang w:eastAsia="en-US"/>
              </w:rPr>
            </w:pPr>
            <w:r>
              <w:rPr>
                <w:snapToGrid w:val="0"/>
                <w:color w:val="000000"/>
                <w:szCs w:val="21"/>
                <w:lang w:eastAsia="en-US"/>
              </w:rPr>
              <w:t>Ui</w:t>
            </w:r>
            <w:r>
              <w:rPr>
                <w:rFonts w:hint="eastAsia"/>
                <w:snapToGrid w:val="0"/>
                <w:color w:val="000000"/>
                <w:szCs w:val="21"/>
                <w:lang w:val="en-US" w:eastAsia="zh-CN"/>
              </w:rPr>
              <w:t>＜</w:t>
            </w:r>
            <w:r>
              <w:rPr>
                <w:snapToGrid w:val="0"/>
                <w:color w:val="000000"/>
                <w:szCs w:val="21"/>
                <w:lang w:eastAsia="en-US"/>
              </w:rPr>
              <w:t>63</w:t>
            </w:r>
          </w:p>
        </w:tc>
        <w:tc>
          <w:tcPr>
            <w:tcW w:w="1305" w:type="pct"/>
            <w:vAlign w:val="center"/>
          </w:tcPr>
          <w:p w14:paraId="38772AC1">
            <w:pPr>
              <w:pStyle w:val="179"/>
              <w:bidi w:val="0"/>
              <w:spacing w:after="160" w:line="278" w:lineRule="auto"/>
              <w:rPr>
                <w:snapToGrid w:val="0"/>
                <w:color w:val="000000"/>
                <w:szCs w:val="21"/>
                <w:lang w:eastAsia="en-US"/>
              </w:rPr>
            </w:pPr>
            <w:r>
              <w:rPr>
                <w:snapToGrid w:val="0"/>
                <w:color w:val="000000"/>
                <w:szCs w:val="21"/>
                <w:lang w:eastAsia="en-US"/>
              </w:rPr>
              <w:t>3.0</w:t>
            </w:r>
          </w:p>
        </w:tc>
        <w:tc>
          <w:tcPr>
            <w:tcW w:w="1305" w:type="pct"/>
            <w:vAlign w:val="center"/>
          </w:tcPr>
          <w:p w14:paraId="4EAFEF86">
            <w:pPr>
              <w:pStyle w:val="179"/>
              <w:bidi w:val="0"/>
              <w:spacing w:after="160" w:line="278" w:lineRule="auto"/>
              <w:rPr>
                <w:snapToGrid w:val="0"/>
                <w:color w:val="000000"/>
                <w:szCs w:val="21"/>
                <w:lang w:eastAsia="en-US"/>
              </w:rPr>
            </w:pPr>
            <w:r>
              <w:rPr>
                <w:snapToGrid w:val="0"/>
                <w:color w:val="000000"/>
                <w:szCs w:val="21"/>
                <w:lang w:eastAsia="en-US"/>
              </w:rPr>
              <w:t>3.0</w:t>
            </w:r>
          </w:p>
        </w:tc>
      </w:tr>
      <w:tr w14:paraId="36D15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894" w:type="pct"/>
            <w:vMerge w:val="continue"/>
            <w:vAlign w:val="center"/>
          </w:tcPr>
          <w:p w14:paraId="594B1718">
            <w:pPr>
              <w:pStyle w:val="179"/>
              <w:bidi w:val="0"/>
              <w:spacing w:after="160" w:line="278" w:lineRule="auto"/>
              <w:rPr>
                <w:snapToGrid w:val="0"/>
                <w:color w:val="000000"/>
                <w:szCs w:val="21"/>
                <w:lang w:eastAsia="en-US"/>
              </w:rPr>
            </w:pPr>
          </w:p>
        </w:tc>
        <w:tc>
          <w:tcPr>
            <w:tcW w:w="1493" w:type="pct"/>
            <w:vAlign w:val="center"/>
          </w:tcPr>
          <w:p w14:paraId="30C1E144">
            <w:pPr>
              <w:pStyle w:val="179"/>
              <w:bidi w:val="0"/>
              <w:spacing w:after="160" w:line="278" w:lineRule="auto"/>
              <w:rPr>
                <w:snapToGrid w:val="0"/>
                <w:color w:val="000000"/>
                <w:szCs w:val="21"/>
                <w:lang w:eastAsia="en-US"/>
              </w:rPr>
            </w:pPr>
            <w:r>
              <w:rPr>
                <w:snapToGrid w:val="0"/>
                <w:color w:val="000000"/>
                <w:szCs w:val="21"/>
                <w:lang w:eastAsia="en-US"/>
              </w:rPr>
              <w:t>63</w:t>
            </w:r>
            <w:r>
              <w:rPr>
                <w:rFonts w:hint="eastAsia"/>
                <w:snapToGrid w:val="0"/>
                <w:color w:val="000000"/>
                <w:szCs w:val="21"/>
                <w:lang w:val="en-US" w:eastAsia="zh-CN"/>
              </w:rPr>
              <w:t>＜</w:t>
            </w:r>
            <w:r>
              <w:rPr>
                <w:snapToGrid w:val="0"/>
                <w:color w:val="000000"/>
                <w:szCs w:val="21"/>
                <w:lang w:eastAsia="en-US"/>
              </w:rPr>
              <w:t>Ui</w:t>
            </w:r>
            <w:r>
              <w:rPr>
                <w:rFonts w:hint="eastAsia"/>
                <w:snapToGrid w:val="0"/>
                <w:color w:val="000000"/>
                <w:szCs w:val="21"/>
                <w:lang w:val="en-US" w:eastAsia="zh-CN"/>
              </w:rPr>
              <w:t>≤</w:t>
            </w:r>
            <w:r>
              <w:rPr>
                <w:snapToGrid w:val="0"/>
                <w:color w:val="000000"/>
                <w:szCs w:val="21"/>
                <w:lang w:eastAsia="en-US"/>
              </w:rPr>
              <w:t>300</w:t>
            </w:r>
          </w:p>
        </w:tc>
        <w:tc>
          <w:tcPr>
            <w:tcW w:w="1305" w:type="pct"/>
            <w:vAlign w:val="center"/>
          </w:tcPr>
          <w:p w14:paraId="18EBB69C">
            <w:pPr>
              <w:pStyle w:val="179"/>
              <w:bidi w:val="0"/>
              <w:spacing w:after="160" w:line="278" w:lineRule="auto"/>
              <w:rPr>
                <w:snapToGrid w:val="0"/>
                <w:color w:val="000000"/>
                <w:szCs w:val="21"/>
                <w:lang w:eastAsia="en-US"/>
              </w:rPr>
            </w:pPr>
            <w:r>
              <w:rPr>
                <w:snapToGrid w:val="0"/>
                <w:color w:val="000000"/>
                <w:szCs w:val="21"/>
                <w:lang w:eastAsia="en-US"/>
              </w:rPr>
              <w:t>5.0</w:t>
            </w:r>
          </w:p>
        </w:tc>
        <w:tc>
          <w:tcPr>
            <w:tcW w:w="1305" w:type="pct"/>
            <w:vAlign w:val="center"/>
          </w:tcPr>
          <w:p w14:paraId="25C94E66">
            <w:pPr>
              <w:pStyle w:val="179"/>
              <w:bidi w:val="0"/>
              <w:spacing w:after="160" w:line="278" w:lineRule="auto"/>
              <w:rPr>
                <w:snapToGrid w:val="0"/>
                <w:color w:val="000000"/>
                <w:szCs w:val="21"/>
                <w:lang w:eastAsia="en-US"/>
              </w:rPr>
            </w:pPr>
            <w:r>
              <w:rPr>
                <w:snapToGrid w:val="0"/>
                <w:color w:val="000000"/>
                <w:szCs w:val="21"/>
                <w:lang w:eastAsia="en-US"/>
              </w:rPr>
              <w:t>6.0</w:t>
            </w:r>
          </w:p>
        </w:tc>
      </w:tr>
      <w:tr w14:paraId="6C84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continue"/>
            <w:vAlign w:val="center"/>
          </w:tcPr>
          <w:p w14:paraId="18DEEB7E">
            <w:pPr>
              <w:pStyle w:val="179"/>
              <w:bidi w:val="0"/>
              <w:spacing w:after="160" w:line="278" w:lineRule="auto"/>
              <w:rPr>
                <w:snapToGrid w:val="0"/>
                <w:color w:val="000000"/>
                <w:szCs w:val="21"/>
                <w:lang w:eastAsia="en-US"/>
              </w:rPr>
            </w:pPr>
          </w:p>
        </w:tc>
        <w:tc>
          <w:tcPr>
            <w:tcW w:w="1493" w:type="pct"/>
            <w:vAlign w:val="center"/>
          </w:tcPr>
          <w:p w14:paraId="3AFD02C9">
            <w:pPr>
              <w:pStyle w:val="179"/>
              <w:bidi w:val="0"/>
              <w:spacing w:after="160" w:line="278" w:lineRule="auto"/>
              <w:rPr>
                <w:snapToGrid w:val="0"/>
                <w:color w:val="000000"/>
                <w:szCs w:val="21"/>
                <w:lang w:eastAsia="en-US"/>
              </w:rPr>
            </w:pPr>
            <w:r>
              <w:rPr>
                <w:snapToGrid w:val="0"/>
                <w:color w:val="000000"/>
                <w:szCs w:val="21"/>
                <w:lang w:eastAsia="en-US"/>
              </w:rPr>
              <w:t>300</w:t>
            </w:r>
            <w:r>
              <w:rPr>
                <w:rFonts w:hint="eastAsia"/>
                <w:snapToGrid w:val="0"/>
                <w:color w:val="000000"/>
                <w:szCs w:val="21"/>
                <w:lang w:val="en-US" w:eastAsia="zh-CN"/>
              </w:rPr>
              <w:t>＜</w:t>
            </w:r>
            <w:r>
              <w:rPr>
                <w:snapToGrid w:val="0"/>
                <w:color w:val="000000"/>
                <w:szCs w:val="21"/>
                <w:lang w:eastAsia="en-US"/>
              </w:rPr>
              <w:t>Ui</w:t>
            </w:r>
            <w:r>
              <w:rPr>
                <w:rFonts w:hint="eastAsia"/>
                <w:snapToGrid w:val="0"/>
                <w:color w:val="000000"/>
                <w:szCs w:val="21"/>
                <w:lang w:val="en-US" w:eastAsia="zh-CN"/>
              </w:rPr>
              <w:t>≤</w:t>
            </w:r>
            <w:r>
              <w:rPr>
                <w:snapToGrid w:val="0"/>
                <w:color w:val="000000"/>
                <w:szCs w:val="21"/>
                <w:lang w:eastAsia="en-US"/>
              </w:rPr>
              <w:t>500</w:t>
            </w:r>
          </w:p>
        </w:tc>
        <w:tc>
          <w:tcPr>
            <w:tcW w:w="1305" w:type="pct"/>
            <w:vAlign w:val="center"/>
          </w:tcPr>
          <w:p w14:paraId="1760B3D6">
            <w:pPr>
              <w:pStyle w:val="179"/>
              <w:bidi w:val="0"/>
              <w:spacing w:after="160" w:line="278" w:lineRule="auto"/>
              <w:rPr>
                <w:snapToGrid w:val="0"/>
                <w:color w:val="000000"/>
                <w:szCs w:val="21"/>
                <w:lang w:eastAsia="en-US"/>
              </w:rPr>
            </w:pPr>
            <w:r>
              <w:rPr>
                <w:snapToGrid w:val="0"/>
                <w:color w:val="000000"/>
                <w:szCs w:val="21"/>
                <w:lang w:eastAsia="en-US"/>
              </w:rPr>
              <w:t>8.0</w:t>
            </w:r>
          </w:p>
        </w:tc>
        <w:tc>
          <w:tcPr>
            <w:tcW w:w="1305" w:type="pct"/>
            <w:vAlign w:val="center"/>
          </w:tcPr>
          <w:p w14:paraId="73DFD1E9">
            <w:pPr>
              <w:pStyle w:val="179"/>
              <w:bidi w:val="0"/>
              <w:spacing w:after="160" w:line="278" w:lineRule="auto"/>
              <w:rPr>
                <w:snapToGrid w:val="0"/>
                <w:color w:val="000000"/>
                <w:szCs w:val="21"/>
                <w:lang w:eastAsia="en-US"/>
              </w:rPr>
            </w:pPr>
            <w:r>
              <w:rPr>
                <w:snapToGrid w:val="0"/>
                <w:color w:val="000000"/>
                <w:szCs w:val="21"/>
                <w:lang w:eastAsia="en-US"/>
              </w:rPr>
              <w:t>10.0</w:t>
            </w:r>
          </w:p>
        </w:tc>
      </w:tr>
      <w:tr w14:paraId="266A8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continue"/>
            <w:vAlign w:val="center"/>
          </w:tcPr>
          <w:p w14:paraId="3D00ACAF">
            <w:pPr>
              <w:pStyle w:val="179"/>
              <w:bidi w:val="0"/>
              <w:spacing w:after="160" w:line="278" w:lineRule="auto"/>
              <w:rPr>
                <w:snapToGrid w:val="0"/>
                <w:color w:val="000000"/>
                <w:szCs w:val="21"/>
                <w:lang w:eastAsia="en-US"/>
              </w:rPr>
            </w:pPr>
          </w:p>
        </w:tc>
        <w:tc>
          <w:tcPr>
            <w:tcW w:w="1493" w:type="pct"/>
            <w:vAlign w:val="center"/>
          </w:tcPr>
          <w:p w14:paraId="5DED87EB">
            <w:pPr>
              <w:pStyle w:val="179"/>
              <w:bidi w:val="0"/>
              <w:spacing w:after="160" w:line="278" w:lineRule="auto"/>
              <w:rPr>
                <w:snapToGrid w:val="0"/>
                <w:color w:val="000000"/>
                <w:szCs w:val="21"/>
                <w:lang w:eastAsia="en-US"/>
              </w:rPr>
            </w:pPr>
            <w:r>
              <w:rPr>
                <w:snapToGrid w:val="0"/>
                <w:color w:val="000000"/>
                <w:szCs w:val="21"/>
                <w:lang w:eastAsia="en-US"/>
              </w:rPr>
              <w:t>500</w:t>
            </w:r>
            <w:r>
              <w:rPr>
                <w:rFonts w:hint="eastAsia"/>
                <w:snapToGrid w:val="0"/>
                <w:color w:val="000000"/>
                <w:szCs w:val="21"/>
                <w:lang w:val="en-US" w:eastAsia="zh-CN"/>
              </w:rPr>
              <w:t>＜</w:t>
            </w:r>
            <w:r>
              <w:rPr>
                <w:snapToGrid w:val="0"/>
                <w:color w:val="000000"/>
                <w:szCs w:val="21"/>
                <w:lang w:eastAsia="en-US"/>
              </w:rPr>
              <w:t>Ui</w:t>
            </w:r>
            <w:r>
              <w:rPr>
                <w:rFonts w:hint="eastAsia"/>
                <w:snapToGrid w:val="0"/>
                <w:color w:val="000000"/>
                <w:szCs w:val="21"/>
                <w:lang w:val="en-US" w:eastAsia="zh-CN"/>
              </w:rPr>
              <w:t>≤</w:t>
            </w:r>
            <w:r>
              <w:rPr>
                <w:snapToGrid w:val="0"/>
                <w:color w:val="000000"/>
                <w:szCs w:val="21"/>
                <w:lang w:eastAsia="en-US"/>
              </w:rPr>
              <w:t>1000</w:t>
            </w:r>
          </w:p>
        </w:tc>
        <w:tc>
          <w:tcPr>
            <w:tcW w:w="1305" w:type="pct"/>
            <w:vAlign w:val="center"/>
          </w:tcPr>
          <w:p w14:paraId="7C84341C">
            <w:pPr>
              <w:pStyle w:val="179"/>
              <w:bidi w:val="0"/>
              <w:spacing w:after="160" w:line="278" w:lineRule="auto"/>
              <w:rPr>
                <w:snapToGrid w:val="0"/>
                <w:color w:val="000000"/>
                <w:szCs w:val="21"/>
                <w:lang w:eastAsia="zh-CN"/>
              </w:rPr>
            </w:pPr>
            <w:r>
              <w:rPr>
                <w:snapToGrid w:val="0"/>
                <w:color w:val="000000"/>
                <w:szCs w:val="21"/>
                <w:lang w:eastAsia="en-US"/>
              </w:rPr>
              <w:t>10.0</w:t>
            </w:r>
          </w:p>
        </w:tc>
        <w:tc>
          <w:tcPr>
            <w:tcW w:w="1305" w:type="pct"/>
            <w:vAlign w:val="center"/>
          </w:tcPr>
          <w:p w14:paraId="76D00C08">
            <w:pPr>
              <w:pStyle w:val="179"/>
              <w:bidi w:val="0"/>
              <w:spacing w:after="160" w:line="278" w:lineRule="auto"/>
              <w:rPr>
                <w:snapToGrid w:val="0"/>
                <w:color w:val="000000"/>
                <w:szCs w:val="21"/>
                <w:lang w:eastAsia="en-US"/>
              </w:rPr>
            </w:pPr>
            <w:r>
              <w:rPr>
                <w:snapToGrid w:val="0"/>
                <w:color w:val="000000"/>
                <w:szCs w:val="21"/>
                <w:lang w:eastAsia="en-US"/>
              </w:rPr>
              <w:t>13.0</w:t>
            </w:r>
          </w:p>
        </w:tc>
      </w:tr>
      <w:tr w14:paraId="6E0A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restart"/>
            <w:vAlign w:val="center"/>
          </w:tcPr>
          <w:p w14:paraId="5F68C948">
            <w:pPr>
              <w:pStyle w:val="179"/>
              <w:bidi w:val="0"/>
              <w:spacing w:after="160" w:line="278" w:lineRule="auto"/>
              <w:rPr>
                <w:snapToGrid w:val="0"/>
                <w:color w:val="000000"/>
                <w:szCs w:val="21"/>
                <w:lang w:eastAsia="en-US"/>
              </w:rPr>
            </w:pPr>
            <w:r>
              <w:rPr>
                <w:rFonts w:hint="eastAsia"/>
                <w:snapToGrid w:val="0"/>
                <w:color w:val="000000"/>
                <w:szCs w:val="21"/>
                <w:lang w:eastAsia="en-US"/>
              </w:rPr>
              <w:t>中高压</w:t>
            </w:r>
          </w:p>
        </w:tc>
        <w:tc>
          <w:tcPr>
            <w:tcW w:w="1493" w:type="pct"/>
            <w:vAlign w:val="center"/>
          </w:tcPr>
          <w:p w14:paraId="51FEB941">
            <w:pPr>
              <w:pStyle w:val="179"/>
              <w:bidi w:val="0"/>
              <w:spacing w:after="160" w:line="278" w:lineRule="auto"/>
              <w:rPr>
                <w:snapToGrid w:val="0"/>
                <w:color w:val="000000"/>
                <w:szCs w:val="21"/>
                <w:lang w:eastAsia="en-US"/>
              </w:rPr>
            </w:pPr>
            <w:bookmarkStart w:id="82" w:name="OLE_LINK10"/>
            <w:r>
              <w:rPr>
                <w:snapToGrid w:val="0"/>
                <w:color w:val="000000"/>
                <w:szCs w:val="21"/>
                <w:lang w:eastAsia="en-US"/>
              </w:rPr>
              <w:t>10000</w:t>
            </w:r>
            <w:bookmarkEnd w:id="82"/>
          </w:p>
        </w:tc>
        <w:tc>
          <w:tcPr>
            <w:tcW w:w="1305" w:type="pct"/>
            <w:vAlign w:val="center"/>
          </w:tcPr>
          <w:p w14:paraId="3415D43F">
            <w:pPr>
              <w:pStyle w:val="179"/>
              <w:bidi w:val="0"/>
              <w:spacing w:after="160" w:line="278" w:lineRule="auto"/>
              <w:rPr>
                <w:snapToGrid w:val="0"/>
                <w:color w:val="000000"/>
                <w:szCs w:val="21"/>
                <w:lang w:eastAsia="en-US"/>
              </w:rPr>
            </w:pPr>
            <w:r>
              <w:rPr>
                <w:snapToGrid w:val="0"/>
                <w:color w:val="000000"/>
                <w:szCs w:val="21"/>
                <w:lang w:eastAsia="en-US"/>
              </w:rPr>
              <w:t>125</w:t>
            </w:r>
          </w:p>
        </w:tc>
        <w:tc>
          <w:tcPr>
            <w:tcW w:w="1305" w:type="pct"/>
            <w:vAlign w:val="center"/>
          </w:tcPr>
          <w:p w14:paraId="447C425D">
            <w:pPr>
              <w:pStyle w:val="179"/>
              <w:bidi w:val="0"/>
              <w:spacing w:after="160" w:line="278" w:lineRule="auto"/>
              <w:rPr>
                <w:snapToGrid w:val="0"/>
                <w:color w:val="000000"/>
                <w:szCs w:val="21"/>
                <w:lang w:eastAsia="en-US"/>
              </w:rPr>
            </w:pPr>
            <w:r>
              <w:rPr>
                <w:snapToGrid w:val="0"/>
                <w:color w:val="000000"/>
                <w:szCs w:val="21"/>
                <w:lang w:eastAsia="en-US"/>
              </w:rPr>
              <w:t>200</w:t>
            </w:r>
          </w:p>
        </w:tc>
      </w:tr>
      <w:tr w14:paraId="2285B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894" w:type="pct"/>
            <w:vMerge w:val="continue"/>
            <w:vAlign w:val="center"/>
          </w:tcPr>
          <w:p w14:paraId="6C945DE7">
            <w:pPr>
              <w:pStyle w:val="179"/>
              <w:bidi w:val="0"/>
              <w:spacing w:after="160" w:line="278" w:lineRule="auto"/>
              <w:rPr>
                <w:snapToGrid w:val="0"/>
                <w:color w:val="000000"/>
                <w:szCs w:val="21"/>
                <w:lang w:eastAsia="en-US"/>
              </w:rPr>
            </w:pPr>
          </w:p>
        </w:tc>
        <w:tc>
          <w:tcPr>
            <w:tcW w:w="1493" w:type="pct"/>
            <w:vAlign w:val="center"/>
          </w:tcPr>
          <w:p w14:paraId="12E34BED">
            <w:pPr>
              <w:pStyle w:val="179"/>
              <w:bidi w:val="0"/>
              <w:spacing w:after="160" w:line="278" w:lineRule="auto"/>
              <w:rPr>
                <w:snapToGrid w:val="0"/>
                <w:color w:val="000000"/>
                <w:szCs w:val="21"/>
                <w:lang w:eastAsia="en-US"/>
              </w:rPr>
            </w:pPr>
            <w:r>
              <w:rPr>
                <w:rFonts w:hint="eastAsia"/>
                <w:snapToGrid w:val="0"/>
                <w:color w:val="000000"/>
                <w:szCs w:val="21"/>
                <w:lang w:eastAsia="en-US"/>
              </w:rPr>
              <w:t>20000</w:t>
            </w:r>
          </w:p>
        </w:tc>
        <w:tc>
          <w:tcPr>
            <w:tcW w:w="1305" w:type="pct"/>
            <w:vAlign w:val="center"/>
          </w:tcPr>
          <w:p w14:paraId="34E470E1">
            <w:pPr>
              <w:pStyle w:val="179"/>
              <w:bidi w:val="0"/>
              <w:spacing w:after="160" w:line="278" w:lineRule="auto"/>
              <w:rPr>
                <w:snapToGrid w:val="0"/>
                <w:color w:val="000000"/>
                <w:szCs w:val="21"/>
                <w:lang w:eastAsia="en-US"/>
              </w:rPr>
            </w:pPr>
            <w:r>
              <w:rPr>
                <w:rFonts w:hint="eastAsia"/>
                <w:snapToGrid w:val="0"/>
                <w:color w:val="000000"/>
                <w:szCs w:val="21"/>
                <w:lang w:eastAsia="en-US"/>
              </w:rPr>
              <w:t>180</w:t>
            </w:r>
          </w:p>
        </w:tc>
        <w:tc>
          <w:tcPr>
            <w:tcW w:w="1305" w:type="pct"/>
            <w:vAlign w:val="center"/>
          </w:tcPr>
          <w:p w14:paraId="3ACB40E7">
            <w:pPr>
              <w:pStyle w:val="179"/>
              <w:bidi w:val="0"/>
              <w:spacing w:after="160" w:line="278" w:lineRule="auto"/>
              <w:rPr>
                <w:snapToGrid w:val="0"/>
                <w:color w:val="000000"/>
                <w:szCs w:val="21"/>
                <w:lang w:eastAsia="en-US"/>
              </w:rPr>
            </w:pPr>
            <w:r>
              <w:rPr>
                <w:rFonts w:hint="eastAsia"/>
                <w:snapToGrid w:val="0"/>
                <w:color w:val="000000"/>
                <w:szCs w:val="21"/>
                <w:lang w:eastAsia="en-US"/>
              </w:rPr>
              <w:t>400</w:t>
            </w:r>
          </w:p>
        </w:tc>
      </w:tr>
      <w:tr w14:paraId="7349C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94" w:type="pct"/>
            <w:vMerge w:val="continue"/>
            <w:vAlign w:val="center"/>
          </w:tcPr>
          <w:p w14:paraId="3CB80082">
            <w:pPr>
              <w:pStyle w:val="179"/>
              <w:bidi w:val="0"/>
              <w:spacing w:after="160" w:line="278" w:lineRule="auto"/>
              <w:rPr>
                <w:snapToGrid w:val="0"/>
                <w:color w:val="000000"/>
                <w:szCs w:val="21"/>
                <w:lang w:eastAsia="en-US"/>
              </w:rPr>
            </w:pPr>
          </w:p>
        </w:tc>
        <w:tc>
          <w:tcPr>
            <w:tcW w:w="1493" w:type="pct"/>
            <w:vAlign w:val="center"/>
          </w:tcPr>
          <w:p w14:paraId="79F859C8">
            <w:pPr>
              <w:pStyle w:val="179"/>
              <w:bidi w:val="0"/>
              <w:spacing w:after="160" w:line="278" w:lineRule="auto"/>
              <w:rPr>
                <w:snapToGrid w:val="0"/>
                <w:color w:val="000000"/>
                <w:szCs w:val="21"/>
                <w:lang w:eastAsia="en-US"/>
              </w:rPr>
            </w:pPr>
            <w:r>
              <w:rPr>
                <w:rFonts w:hint="eastAsia"/>
                <w:snapToGrid w:val="0"/>
                <w:color w:val="000000"/>
                <w:szCs w:val="21"/>
                <w:lang w:eastAsia="en-US"/>
              </w:rPr>
              <w:t>35000</w:t>
            </w:r>
          </w:p>
        </w:tc>
        <w:tc>
          <w:tcPr>
            <w:tcW w:w="1305" w:type="pct"/>
            <w:vAlign w:val="center"/>
          </w:tcPr>
          <w:p w14:paraId="479956B3">
            <w:pPr>
              <w:pStyle w:val="179"/>
              <w:bidi w:val="0"/>
              <w:spacing w:after="160" w:line="278" w:lineRule="auto"/>
              <w:rPr>
                <w:snapToGrid w:val="0"/>
                <w:color w:val="000000"/>
                <w:szCs w:val="21"/>
                <w:lang w:eastAsia="en-US"/>
              </w:rPr>
            </w:pPr>
            <w:r>
              <w:rPr>
                <w:rFonts w:hint="eastAsia"/>
                <w:snapToGrid w:val="0"/>
                <w:color w:val="000000"/>
                <w:szCs w:val="21"/>
                <w:lang w:eastAsia="en-US"/>
              </w:rPr>
              <w:t>300</w:t>
            </w:r>
          </w:p>
        </w:tc>
        <w:tc>
          <w:tcPr>
            <w:tcW w:w="1305" w:type="pct"/>
            <w:vAlign w:val="center"/>
          </w:tcPr>
          <w:p w14:paraId="609FF368">
            <w:pPr>
              <w:pStyle w:val="179"/>
              <w:bidi w:val="0"/>
              <w:spacing w:after="160" w:line="278" w:lineRule="auto"/>
              <w:rPr>
                <w:snapToGrid w:val="0"/>
                <w:color w:val="000000"/>
                <w:szCs w:val="21"/>
                <w:lang w:eastAsia="en-US"/>
              </w:rPr>
            </w:pPr>
            <w:r>
              <w:rPr>
                <w:rFonts w:hint="eastAsia"/>
                <w:snapToGrid w:val="0"/>
                <w:color w:val="000000"/>
                <w:szCs w:val="21"/>
                <w:lang w:eastAsia="en-US"/>
              </w:rPr>
              <w:t>700</w:t>
            </w:r>
          </w:p>
        </w:tc>
      </w:tr>
    </w:tbl>
    <w:p w14:paraId="453A63C7">
      <w:pPr>
        <w:pStyle w:val="165"/>
      </w:pPr>
      <w:r>
        <w:rPr>
          <w:rFonts w:hint="eastAsia"/>
        </w:rPr>
        <w:t>当主电路与控制电路或辅助电路的额定绝缘电压不一致时，其电气间隙和爬电距离可分别按其额定值选取。</w:t>
      </w:r>
    </w:p>
    <w:p w14:paraId="6C129AAA">
      <w:pPr>
        <w:pStyle w:val="165"/>
      </w:pPr>
      <w:r>
        <w:rPr>
          <w:rFonts w:hint="eastAsia"/>
        </w:rPr>
        <w:t>具有不同额定值主电路或控制电路导电部分之间的电气间隙与爬电距离，应按最高额定绝缘电压选取。</w:t>
      </w:r>
    </w:p>
    <w:p w14:paraId="1BB89C74">
      <w:pPr>
        <w:pStyle w:val="165"/>
        <w:bidi w:val="0"/>
      </w:pPr>
      <w:r>
        <w:rPr>
          <w:rFonts w:hint="eastAsia"/>
        </w:rPr>
        <w:t>小母线、汇流排或不同极的裸露的带电导体之间，以及裸露的带电导体与未经绝缘的不带电导体之间的电气间隙不小于12mm，爬电距离不小于20mm。</w:t>
      </w:r>
    </w:p>
    <w:p w14:paraId="7F51804C">
      <w:pPr>
        <w:pStyle w:val="66"/>
        <w:bidi w:val="0"/>
        <w:ind w:left="0" w:leftChars="0" w:firstLine="0" w:firstLineChars="0"/>
      </w:pPr>
      <w:r>
        <w:rPr>
          <w:rFonts w:hint="eastAsia"/>
          <w:lang w:val="en-US" w:eastAsia="zh-CN"/>
        </w:rPr>
        <w:t>电气防护</w:t>
      </w:r>
    </w:p>
    <w:p w14:paraId="04306E09">
      <w:pPr>
        <w:pStyle w:val="165"/>
        <w:bidi w:val="0"/>
        <w:rPr>
          <w:rFonts w:hint="default"/>
          <w:lang w:val="en-US" w:eastAsia="zh-CN"/>
        </w:rPr>
      </w:pPr>
      <w:r>
        <w:rPr>
          <w:rFonts w:hint="eastAsia"/>
        </w:rPr>
        <w:t>设备应设置完善的电气隔离措施，</w:t>
      </w:r>
      <w:r>
        <w:rPr>
          <w:rFonts w:hint="eastAsia"/>
          <w:lang w:val="en-US" w:eastAsia="zh-CN"/>
        </w:rPr>
        <w:t>并</w:t>
      </w:r>
      <w:r>
        <w:rPr>
          <w:rFonts w:hint="eastAsia"/>
        </w:rPr>
        <w:t>符合GB/T 17045</w:t>
      </w:r>
      <w:r>
        <w:rPr>
          <w:rFonts w:hint="eastAsia"/>
          <w:lang w:val="en-US" w:eastAsia="zh-CN"/>
        </w:rPr>
        <w:t>的</w:t>
      </w:r>
      <w:r>
        <w:rPr>
          <w:rFonts w:hint="eastAsia"/>
        </w:rPr>
        <w:t>要求</w:t>
      </w:r>
      <w:r>
        <w:rPr>
          <w:rFonts w:hint="eastAsia"/>
          <w:lang w:eastAsia="zh-CN"/>
        </w:rPr>
        <w:t>。</w:t>
      </w:r>
    </w:p>
    <w:p w14:paraId="0A60B40F">
      <w:pPr>
        <w:pStyle w:val="165"/>
        <w:keepNext w:val="0"/>
        <w:keepLines w:val="0"/>
        <w:pageBreakBefore w:val="0"/>
        <w:widowControl/>
        <w:kinsoku/>
        <w:wordWrap/>
        <w:overflowPunct/>
        <w:topLinePunct w:val="0"/>
        <w:autoSpaceDE w:val="0"/>
        <w:autoSpaceDN/>
        <w:bidi w:val="0"/>
        <w:adjustRightInd/>
        <w:snapToGrid/>
        <w:textAlignment w:val="auto"/>
        <w:rPr>
          <w:rFonts w:hint="default"/>
          <w:lang w:val="en-US" w:eastAsia="zh-CN"/>
        </w:rPr>
      </w:pPr>
      <w:r>
        <w:rPr>
          <w:rFonts w:hint="default"/>
          <w:lang w:val="en-US" w:eastAsia="zh-CN"/>
        </w:rPr>
        <w:t>在施加500</w:t>
      </w:r>
      <w:r>
        <w:rPr>
          <w:rFonts w:hint="eastAsia" w:ascii="宋体" w:hAnsi="宋体" w:eastAsia="宋体" w:cs="宋体"/>
          <w:lang w:val="en-US" w:eastAsia="zh-CN"/>
        </w:rPr>
        <w:t>V DC电压情况下，绝缘电阻应不小于100MΩ</w:t>
      </w:r>
      <w:r>
        <w:rPr>
          <w:rFonts w:hint="eastAsia"/>
          <w:lang w:val="en-US" w:eastAsia="zh-CN"/>
        </w:rPr>
        <w:t>。</w:t>
      </w:r>
    </w:p>
    <w:p w14:paraId="333272AE">
      <w:pPr>
        <w:pStyle w:val="165"/>
        <w:bidi w:val="0"/>
        <w:rPr>
          <w:rFonts w:hint="eastAsia"/>
          <w:lang w:eastAsia="zh-CN"/>
        </w:rPr>
      </w:pPr>
      <w:r>
        <w:rPr>
          <w:rFonts w:hint="eastAsia"/>
          <w:lang w:eastAsia="zh-CN"/>
        </w:rPr>
        <w:t>所有可触及的金属部件应可靠接地，接地端子的截面积应不小于10mm</w:t>
      </w:r>
      <w:r>
        <w:rPr>
          <w:rFonts w:hint="eastAsia"/>
          <w:vertAlign w:val="superscript"/>
          <w:lang w:val="en-US" w:eastAsia="zh-CN"/>
        </w:rPr>
        <w:t>2</w:t>
      </w:r>
      <w:r>
        <w:rPr>
          <w:rFonts w:hint="eastAsia"/>
          <w:lang w:eastAsia="zh-CN"/>
        </w:rPr>
        <w:t>，且具有防松动措施，</w:t>
      </w:r>
      <w:r>
        <w:rPr>
          <w:rFonts w:hint="eastAsia"/>
          <w:lang w:val="en-US" w:eastAsia="zh-CN"/>
        </w:rPr>
        <w:t>并有明显的标志。</w:t>
      </w:r>
    </w:p>
    <w:p w14:paraId="17C7723D">
      <w:pPr>
        <w:pStyle w:val="165"/>
        <w:bidi w:val="0"/>
        <w:rPr>
          <w:rFonts w:hint="eastAsia"/>
          <w:lang w:eastAsia="zh-CN"/>
        </w:rPr>
      </w:pPr>
      <w:r>
        <w:rPr>
          <w:rFonts w:hint="eastAsia"/>
          <w:lang w:eastAsia="zh-CN"/>
        </w:rPr>
        <w:t>设备保护接地端子与外壳及所有可触及金属部件之间的连接电阻应不大于0.1Ω。</w:t>
      </w:r>
    </w:p>
    <w:p w14:paraId="445FC23C">
      <w:pPr>
        <w:pStyle w:val="165"/>
        <w:bidi w:val="0"/>
        <w:rPr>
          <w:rFonts w:hint="eastAsia"/>
          <w:highlight w:val="none"/>
          <w:lang w:eastAsia="zh-CN"/>
        </w:rPr>
      </w:pPr>
      <w:r>
        <w:rPr>
          <w:rFonts w:hint="eastAsia"/>
          <w:highlight w:val="none"/>
          <w:lang w:eastAsia="zh-CN"/>
        </w:rPr>
        <w:t>主电路和与主电路直接连接的辅助电路，工频耐受电压、雷电冲击耐受电压</w:t>
      </w:r>
      <w:r>
        <w:rPr>
          <w:rFonts w:hint="eastAsia"/>
          <w:highlight w:val="none"/>
          <w:lang w:val="en-US" w:eastAsia="zh-CN"/>
        </w:rPr>
        <w:t>见表2</w:t>
      </w:r>
      <w:r>
        <w:rPr>
          <w:rFonts w:hint="eastAsia"/>
          <w:highlight w:val="none"/>
          <w:lang w:eastAsia="zh-CN"/>
        </w:rPr>
        <w:t>。</w:t>
      </w:r>
    </w:p>
    <w:p w14:paraId="35E1BDE4">
      <w:pPr>
        <w:pStyle w:val="113"/>
        <w:bidi w:val="0"/>
        <w:rPr>
          <w:rFonts w:hint="eastAsia"/>
          <w:highlight w:val="none"/>
          <w:lang w:eastAsia="zh-CN"/>
        </w:rPr>
      </w:pPr>
      <w:r>
        <w:rPr>
          <w:rFonts w:hint="eastAsia"/>
          <w:highlight w:val="none"/>
          <w:lang w:eastAsia="zh-CN"/>
        </w:rPr>
        <w:t>工频耐受电压与雷电冲击耐受电压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14:paraId="5C67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4AAE65D4">
            <w:pPr>
              <w:pStyle w:val="179"/>
              <w:bidi w:val="0"/>
              <w:rPr>
                <w:rFonts w:hint="default"/>
                <w:lang w:val="en-US" w:eastAsia="zh-CN"/>
              </w:rPr>
            </w:pPr>
            <w:r>
              <w:rPr>
                <w:rFonts w:hint="eastAsia"/>
                <w:lang w:val="en-US" w:eastAsia="zh-CN"/>
              </w:rPr>
              <w:t>额定电压（kV）</w:t>
            </w:r>
          </w:p>
        </w:tc>
        <w:tc>
          <w:tcPr>
            <w:tcW w:w="2392" w:type="dxa"/>
          </w:tcPr>
          <w:p w14:paraId="4D669456">
            <w:pPr>
              <w:pStyle w:val="179"/>
              <w:bidi w:val="0"/>
              <w:rPr>
                <w:rFonts w:hint="eastAsia"/>
                <w:lang w:eastAsia="zh-CN"/>
              </w:rPr>
            </w:pPr>
            <w:r>
              <w:rPr>
                <w:rFonts w:hint="eastAsia"/>
                <w:lang w:eastAsia="zh-CN"/>
              </w:rPr>
              <w:t>工频耐受电压（</w:t>
            </w:r>
            <w:r>
              <w:rPr>
                <w:rFonts w:hint="eastAsia"/>
                <w:lang w:val="en-US" w:eastAsia="zh-CN"/>
              </w:rPr>
              <w:t>kV，有效值</w:t>
            </w:r>
            <w:r>
              <w:rPr>
                <w:rFonts w:hint="eastAsia"/>
                <w:lang w:eastAsia="zh-CN"/>
              </w:rPr>
              <w:t>）</w:t>
            </w:r>
          </w:p>
        </w:tc>
        <w:tc>
          <w:tcPr>
            <w:tcW w:w="2393" w:type="dxa"/>
          </w:tcPr>
          <w:p w14:paraId="1E8C75DF">
            <w:pPr>
              <w:pStyle w:val="179"/>
              <w:bidi w:val="0"/>
              <w:rPr>
                <w:rFonts w:hint="default"/>
                <w:lang w:val="en-US" w:eastAsia="zh-CN"/>
              </w:rPr>
            </w:pPr>
            <w:r>
              <w:rPr>
                <w:rFonts w:hint="eastAsia"/>
                <w:lang w:val="en-US" w:eastAsia="zh-CN"/>
              </w:rPr>
              <w:t>雷电全波冲击</w:t>
            </w:r>
            <w:r>
              <w:rPr>
                <w:rFonts w:hint="eastAsia"/>
                <w:lang w:eastAsia="zh-CN"/>
              </w:rPr>
              <w:t>（</w:t>
            </w:r>
            <w:r>
              <w:rPr>
                <w:rFonts w:hint="eastAsia"/>
                <w:lang w:val="en-US" w:eastAsia="zh-CN"/>
              </w:rPr>
              <w:t>kV，峰值</w:t>
            </w:r>
            <w:r>
              <w:rPr>
                <w:rFonts w:hint="eastAsia"/>
                <w:lang w:eastAsia="zh-CN"/>
              </w:rPr>
              <w:t>）</w:t>
            </w:r>
          </w:p>
        </w:tc>
        <w:tc>
          <w:tcPr>
            <w:tcW w:w="2393" w:type="dxa"/>
          </w:tcPr>
          <w:p w14:paraId="5CCE4931">
            <w:pPr>
              <w:pStyle w:val="179"/>
              <w:bidi w:val="0"/>
              <w:rPr>
                <w:rFonts w:hint="default"/>
                <w:lang w:val="en-US" w:eastAsia="zh-CN"/>
              </w:rPr>
            </w:pPr>
            <w:r>
              <w:rPr>
                <w:rFonts w:hint="eastAsia"/>
                <w:lang w:val="en-US" w:eastAsia="zh-CN"/>
              </w:rPr>
              <w:t>雷电截波冲击</w:t>
            </w:r>
            <w:r>
              <w:rPr>
                <w:rFonts w:hint="eastAsia"/>
                <w:lang w:eastAsia="zh-CN"/>
              </w:rPr>
              <w:t>（</w:t>
            </w:r>
            <w:r>
              <w:rPr>
                <w:rFonts w:hint="eastAsia"/>
                <w:lang w:val="en-US" w:eastAsia="zh-CN"/>
              </w:rPr>
              <w:t>kV，峰值</w:t>
            </w:r>
            <w:r>
              <w:rPr>
                <w:rFonts w:hint="eastAsia"/>
                <w:lang w:eastAsia="zh-CN"/>
              </w:rPr>
              <w:t>）</w:t>
            </w:r>
          </w:p>
        </w:tc>
      </w:tr>
      <w:tr w14:paraId="1CAF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0226CE2">
            <w:pPr>
              <w:pStyle w:val="179"/>
              <w:bidi w:val="0"/>
              <w:rPr>
                <w:rFonts w:hint="default"/>
                <w:lang w:val="en-US" w:eastAsia="zh-CN"/>
              </w:rPr>
            </w:pPr>
            <w:r>
              <w:rPr>
                <w:rFonts w:hint="eastAsia"/>
                <w:lang w:val="en-US" w:eastAsia="zh-CN"/>
              </w:rPr>
              <w:t>10</w:t>
            </w:r>
          </w:p>
        </w:tc>
        <w:tc>
          <w:tcPr>
            <w:tcW w:w="2392" w:type="dxa"/>
          </w:tcPr>
          <w:p w14:paraId="79F6284E">
            <w:pPr>
              <w:pStyle w:val="179"/>
              <w:bidi w:val="0"/>
              <w:rPr>
                <w:rFonts w:hint="default"/>
                <w:lang w:val="en-US" w:eastAsia="zh-CN"/>
              </w:rPr>
            </w:pPr>
            <w:r>
              <w:rPr>
                <w:rFonts w:hint="eastAsia"/>
                <w:lang w:val="en-US" w:eastAsia="zh-CN"/>
              </w:rPr>
              <w:t>35</w:t>
            </w:r>
          </w:p>
        </w:tc>
        <w:tc>
          <w:tcPr>
            <w:tcW w:w="2393" w:type="dxa"/>
          </w:tcPr>
          <w:p w14:paraId="70D53B08">
            <w:pPr>
              <w:pStyle w:val="179"/>
              <w:bidi w:val="0"/>
              <w:rPr>
                <w:rFonts w:hint="default"/>
                <w:lang w:val="en-US" w:eastAsia="zh-CN"/>
              </w:rPr>
            </w:pPr>
            <w:r>
              <w:rPr>
                <w:rFonts w:hint="eastAsia"/>
                <w:lang w:val="en-US" w:eastAsia="zh-CN"/>
              </w:rPr>
              <w:t>75</w:t>
            </w:r>
          </w:p>
        </w:tc>
        <w:tc>
          <w:tcPr>
            <w:tcW w:w="2393" w:type="dxa"/>
          </w:tcPr>
          <w:p w14:paraId="05672559">
            <w:pPr>
              <w:pStyle w:val="179"/>
              <w:bidi w:val="0"/>
              <w:rPr>
                <w:rFonts w:hint="default"/>
                <w:lang w:val="en-US" w:eastAsia="zh-CN"/>
              </w:rPr>
            </w:pPr>
            <w:r>
              <w:rPr>
                <w:rFonts w:hint="eastAsia"/>
                <w:lang w:val="en-US" w:eastAsia="zh-CN"/>
              </w:rPr>
              <w:t>85</w:t>
            </w:r>
          </w:p>
        </w:tc>
      </w:tr>
      <w:tr w14:paraId="1D3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DC740C9">
            <w:pPr>
              <w:pStyle w:val="179"/>
              <w:bidi w:val="0"/>
              <w:rPr>
                <w:rFonts w:hint="default"/>
                <w:lang w:val="en-US" w:eastAsia="zh-CN"/>
              </w:rPr>
            </w:pPr>
            <w:r>
              <w:rPr>
                <w:rFonts w:hint="eastAsia"/>
                <w:lang w:val="en-US" w:eastAsia="zh-CN"/>
              </w:rPr>
              <w:t>15</w:t>
            </w:r>
          </w:p>
        </w:tc>
        <w:tc>
          <w:tcPr>
            <w:tcW w:w="2392" w:type="dxa"/>
          </w:tcPr>
          <w:p w14:paraId="3A3BA917">
            <w:pPr>
              <w:pStyle w:val="179"/>
              <w:bidi w:val="0"/>
              <w:rPr>
                <w:rFonts w:hint="default"/>
                <w:lang w:val="en-US" w:eastAsia="zh-CN"/>
              </w:rPr>
            </w:pPr>
            <w:r>
              <w:rPr>
                <w:rFonts w:hint="eastAsia"/>
                <w:lang w:val="en-US" w:eastAsia="zh-CN"/>
              </w:rPr>
              <w:t>45</w:t>
            </w:r>
          </w:p>
        </w:tc>
        <w:tc>
          <w:tcPr>
            <w:tcW w:w="2393" w:type="dxa"/>
          </w:tcPr>
          <w:p w14:paraId="39D0A072">
            <w:pPr>
              <w:pStyle w:val="179"/>
              <w:bidi w:val="0"/>
              <w:rPr>
                <w:rFonts w:hint="default"/>
                <w:lang w:val="en-US" w:eastAsia="zh-CN"/>
              </w:rPr>
            </w:pPr>
            <w:r>
              <w:rPr>
                <w:rFonts w:hint="eastAsia"/>
                <w:lang w:val="en-US" w:eastAsia="zh-CN"/>
              </w:rPr>
              <w:t>105</w:t>
            </w:r>
          </w:p>
        </w:tc>
        <w:tc>
          <w:tcPr>
            <w:tcW w:w="2393" w:type="dxa"/>
          </w:tcPr>
          <w:p w14:paraId="5DE5D553">
            <w:pPr>
              <w:pStyle w:val="179"/>
              <w:bidi w:val="0"/>
              <w:rPr>
                <w:rFonts w:hint="default"/>
                <w:lang w:val="en-US" w:eastAsia="zh-CN"/>
              </w:rPr>
            </w:pPr>
            <w:r>
              <w:rPr>
                <w:rFonts w:hint="eastAsia"/>
                <w:lang w:val="en-US" w:eastAsia="zh-CN"/>
              </w:rPr>
              <w:t>115</w:t>
            </w:r>
          </w:p>
        </w:tc>
      </w:tr>
      <w:tr w14:paraId="090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5F858393">
            <w:pPr>
              <w:pStyle w:val="179"/>
              <w:bidi w:val="0"/>
              <w:rPr>
                <w:rFonts w:hint="default"/>
                <w:lang w:val="en-US" w:eastAsia="zh-CN"/>
              </w:rPr>
            </w:pPr>
            <w:r>
              <w:rPr>
                <w:rFonts w:hint="eastAsia"/>
                <w:lang w:val="en-US" w:eastAsia="zh-CN"/>
              </w:rPr>
              <w:t>20</w:t>
            </w:r>
          </w:p>
        </w:tc>
        <w:tc>
          <w:tcPr>
            <w:tcW w:w="2392" w:type="dxa"/>
          </w:tcPr>
          <w:p w14:paraId="62710A4B">
            <w:pPr>
              <w:pStyle w:val="179"/>
              <w:bidi w:val="0"/>
              <w:rPr>
                <w:rFonts w:hint="default"/>
                <w:lang w:val="en-US" w:eastAsia="zh-CN"/>
              </w:rPr>
            </w:pPr>
            <w:r>
              <w:rPr>
                <w:rFonts w:hint="eastAsia"/>
                <w:lang w:val="en-US" w:eastAsia="zh-CN"/>
              </w:rPr>
              <w:t>55</w:t>
            </w:r>
          </w:p>
        </w:tc>
        <w:tc>
          <w:tcPr>
            <w:tcW w:w="2393" w:type="dxa"/>
          </w:tcPr>
          <w:p w14:paraId="6E6052FB">
            <w:pPr>
              <w:pStyle w:val="179"/>
              <w:bidi w:val="0"/>
              <w:rPr>
                <w:rFonts w:hint="default"/>
                <w:lang w:val="en-US" w:eastAsia="zh-CN"/>
              </w:rPr>
            </w:pPr>
            <w:r>
              <w:rPr>
                <w:rFonts w:hint="eastAsia"/>
                <w:lang w:val="en-US" w:eastAsia="zh-CN"/>
              </w:rPr>
              <w:t>125</w:t>
            </w:r>
          </w:p>
        </w:tc>
        <w:tc>
          <w:tcPr>
            <w:tcW w:w="2393" w:type="dxa"/>
          </w:tcPr>
          <w:p w14:paraId="72DF1313">
            <w:pPr>
              <w:pStyle w:val="179"/>
              <w:bidi w:val="0"/>
              <w:rPr>
                <w:rFonts w:hint="default"/>
                <w:lang w:val="en-US" w:eastAsia="zh-CN"/>
              </w:rPr>
            </w:pPr>
            <w:r>
              <w:rPr>
                <w:rFonts w:hint="eastAsia"/>
                <w:lang w:val="en-US" w:eastAsia="zh-CN"/>
              </w:rPr>
              <w:t>140</w:t>
            </w:r>
          </w:p>
        </w:tc>
      </w:tr>
      <w:tr w14:paraId="14FC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15A862F">
            <w:pPr>
              <w:pStyle w:val="179"/>
              <w:bidi w:val="0"/>
              <w:rPr>
                <w:rFonts w:hint="default"/>
                <w:lang w:val="en-US" w:eastAsia="zh-CN"/>
              </w:rPr>
            </w:pPr>
            <w:r>
              <w:rPr>
                <w:rFonts w:hint="eastAsia"/>
                <w:lang w:val="en-US" w:eastAsia="zh-CN"/>
              </w:rPr>
              <w:t>35</w:t>
            </w:r>
          </w:p>
        </w:tc>
        <w:tc>
          <w:tcPr>
            <w:tcW w:w="2392" w:type="dxa"/>
          </w:tcPr>
          <w:p w14:paraId="3F456F52">
            <w:pPr>
              <w:pStyle w:val="179"/>
              <w:bidi w:val="0"/>
              <w:rPr>
                <w:rFonts w:hint="default"/>
                <w:lang w:val="en-US" w:eastAsia="zh-CN"/>
              </w:rPr>
            </w:pPr>
            <w:r>
              <w:rPr>
                <w:rFonts w:hint="eastAsia"/>
                <w:lang w:val="en-US" w:eastAsia="zh-CN"/>
              </w:rPr>
              <w:t>85</w:t>
            </w:r>
          </w:p>
        </w:tc>
        <w:tc>
          <w:tcPr>
            <w:tcW w:w="2393" w:type="dxa"/>
          </w:tcPr>
          <w:p w14:paraId="2B631682">
            <w:pPr>
              <w:pStyle w:val="179"/>
              <w:bidi w:val="0"/>
              <w:rPr>
                <w:rFonts w:hint="default"/>
                <w:lang w:val="en-US" w:eastAsia="zh-CN"/>
              </w:rPr>
            </w:pPr>
            <w:r>
              <w:rPr>
                <w:rFonts w:hint="eastAsia"/>
                <w:lang w:val="en-US" w:eastAsia="zh-CN"/>
              </w:rPr>
              <w:t>200</w:t>
            </w:r>
          </w:p>
        </w:tc>
        <w:tc>
          <w:tcPr>
            <w:tcW w:w="2393" w:type="dxa"/>
          </w:tcPr>
          <w:p w14:paraId="60336A06">
            <w:pPr>
              <w:pStyle w:val="179"/>
              <w:bidi w:val="0"/>
              <w:rPr>
                <w:rFonts w:hint="default"/>
                <w:lang w:val="en-US" w:eastAsia="zh-CN"/>
              </w:rPr>
            </w:pPr>
            <w:r>
              <w:rPr>
                <w:rFonts w:hint="eastAsia"/>
                <w:lang w:val="en-US" w:eastAsia="zh-CN"/>
              </w:rPr>
              <w:t>220</w:t>
            </w:r>
          </w:p>
        </w:tc>
      </w:tr>
    </w:tbl>
    <w:p w14:paraId="129253FB">
      <w:pPr>
        <w:pStyle w:val="66"/>
        <w:bidi w:val="0"/>
        <w:ind w:left="0" w:leftChars="0" w:firstLine="0" w:firstLineChars="0"/>
        <w:rPr>
          <w:rFonts w:hint="eastAsia"/>
          <w:lang w:eastAsia="zh-CN"/>
        </w:rPr>
      </w:pPr>
      <w:r>
        <w:rPr>
          <w:rFonts w:hint="eastAsia"/>
          <w:lang w:val="en-US" w:eastAsia="zh-CN"/>
        </w:rPr>
        <w:t>温升</w:t>
      </w:r>
    </w:p>
    <w:p w14:paraId="2F0164A0">
      <w:pPr>
        <w:pStyle w:val="165"/>
        <w:bidi w:val="0"/>
        <w:rPr>
          <w:rFonts w:hint="eastAsia"/>
          <w:lang w:eastAsia="zh-CN"/>
        </w:rPr>
      </w:pPr>
      <w:r>
        <w:rPr>
          <w:rFonts w:hint="eastAsia"/>
          <w:lang w:val="en-US" w:eastAsia="zh-CN"/>
        </w:rPr>
        <w:t>额定运行工况下，高频隔离变压器若为铜绕组，绕组平均温升不超过125K；若为铝绕组，其绕组平均温升不超过110K。</w:t>
      </w:r>
    </w:p>
    <w:p w14:paraId="4A7C62B0">
      <w:pPr>
        <w:pStyle w:val="165"/>
        <w:bidi w:val="0"/>
        <w:rPr>
          <w:rFonts w:hint="eastAsia"/>
          <w:lang w:eastAsia="zh-CN"/>
        </w:rPr>
      </w:pPr>
      <w:r>
        <w:rPr>
          <w:rFonts w:hint="eastAsia"/>
          <w:lang w:val="en-US" w:eastAsia="zh-CN"/>
        </w:rPr>
        <w:t>绝缘材料温度应根据不同的绝缘耐热等级进行区分，并符合GB/T 11021中的规定；薄膜电容器</w:t>
      </w:r>
      <w:r>
        <w:rPr>
          <w:rFonts w:hint="eastAsia"/>
          <w:highlight w:val="none"/>
          <w:lang w:val="en-US" w:eastAsia="zh-CN"/>
        </w:rPr>
        <w:t>温升</w:t>
      </w:r>
      <w:r>
        <w:rPr>
          <w:rFonts w:hint="eastAsia"/>
          <w:lang w:val="en-US" w:eastAsia="zh-CN"/>
        </w:rPr>
        <w:t>不超过60℃，开关器件结温由用户与成套设备制造商协商。</w:t>
      </w:r>
    </w:p>
    <w:p w14:paraId="05034540">
      <w:pPr>
        <w:pStyle w:val="106"/>
        <w:bidi w:val="0"/>
      </w:pPr>
      <w:bookmarkStart w:id="83" w:name="_Toc28745"/>
      <w:r>
        <w:rPr>
          <w:rFonts w:hint="eastAsia"/>
          <w:lang w:val="en-US" w:eastAsia="zh-CN"/>
        </w:rPr>
        <w:t>功能要求</w:t>
      </w:r>
      <w:bookmarkEnd w:id="83"/>
    </w:p>
    <w:p w14:paraId="7D39A7DB">
      <w:pPr>
        <w:pStyle w:val="166"/>
        <w:bidi w:val="0"/>
        <w:rPr>
          <w:rFonts w:hint="eastAsia" w:eastAsia="宋体"/>
          <w:highlight w:val="none"/>
          <w:lang w:eastAsia="zh-CN"/>
        </w:rPr>
      </w:pPr>
      <w:r>
        <w:rPr>
          <w:rFonts w:hint="eastAsia"/>
          <w:highlight w:val="none"/>
          <w:lang w:val="en-US" w:eastAsia="zh-CN"/>
        </w:rPr>
        <w:t>宜</w:t>
      </w:r>
      <w:r>
        <w:rPr>
          <w:rFonts w:hint="eastAsia"/>
          <w:highlight w:val="none"/>
        </w:rPr>
        <w:t>具备中压交流到低压直流的双向功率变换能力</w:t>
      </w:r>
      <w:r>
        <w:rPr>
          <w:rFonts w:hint="eastAsia" w:eastAsia="宋体"/>
          <w:highlight w:val="none"/>
          <w:lang w:eastAsia="zh-CN"/>
        </w:rPr>
        <w:t>，无需</w:t>
      </w:r>
      <w:r>
        <w:rPr>
          <w:rFonts w:hint="eastAsia"/>
          <w:highlight w:val="none"/>
          <w:lang w:val="en-US" w:eastAsia="zh-CN"/>
        </w:rPr>
        <w:t>工频</w:t>
      </w:r>
      <w:r>
        <w:rPr>
          <w:rFonts w:hint="eastAsia" w:eastAsia="宋体"/>
          <w:highlight w:val="none"/>
          <w:lang w:eastAsia="zh-CN"/>
        </w:rPr>
        <w:t>变压器升压</w:t>
      </w:r>
      <w:r>
        <w:rPr>
          <w:rFonts w:hint="eastAsia"/>
          <w:highlight w:val="none"/>
          <w:lang w:val="en-US" w:eastAsia="zh-CN"/>
        </w:rPr>
        <w:t>/</w:t>
      </w:r>
      <w:r>
        <w:rPr>
          <w:rFonts w:hint="eastAsia" w:eastAsia="宋体"/>
          <w:highlight w:val="none"/>
          <w:lang w:eastAsia="zh-CN"/>
        </w:rPr>
        <w:t>降压环节</w:t>
      </w:r>
      <w:r>
        <w:rPr>
          <w:rFonts w:hint="eastAsia"/>
          <w:highlight w:val="none"/>
          <w:lang w:eastAsia="zh-CN"/>
        </w:rPr>
        <w:t>。</w:t>
      </w:r>
    </w:p>
    <w:p w14:paraId="08901CC1">
      <w:pPr>
        <w:pStyle w:val="166"/>
        <w:bidi w:val="0"/>
        <w:rPr>
          <w:rFonts w:hint="eastAsia" w:eastAsia="宋体"/>
          <w:lang w:eastAsia="zh-CN"/>
        </w:rPr>
      </w:pPr>
      <w:r>
        <w:rPr>
          <w:rFonts w:hint="eastAsia"/>
        </w:rPr>
        <w:t>应兼容GB/T 20234.3和GB/T 20234.4规定的直流充电接口</w:t>
      </w:r>
      <w:r>
        <w:rPr>
          <w:rFonts w:hint="eastAsia"/>
          <w:lang w:eastAsia="zh-CN"/>
        </w:rPr>
        <w:t>。</w:t>
      </w:r>
    </w:p>
    <w:p w14:paraId="2B8EEEDB">
      <w:pPr>
        <w:pStyle w:val="166"/>
        <w:bidi w:val="0"/>
        <w:rPr>
          <w:rFonts w:hint="eastAsia" w:eastAsia="宋体"/>
          <w:lang w:eastAsia="zh-CN"/>
        </w:rPr>
      </w:pPr>
      <w:r>
        <w:rPr>
          <w:rFonts w:hint="eastAsia"/>
          <w:lang w:val="en-US" w:eastAsia="zh-CN"/>
        </w:rPr>
        <w:t>宜</w:t>
      </w:r>
      <w:r>
        <w:rPr>
          <w:rFonts w:hint="eastAsia"/>
        </w:rPr>
        <w:t>具备自动识别电动汽车电池类型、电压等级及充电需求的能力，实现智能匹配充电参数</w:t>
      </w:r>
      <w:r>
        <w:rPr>
          <w:rFonts w:hint="eastAsia"/>
          <w:lang w:eastAsia="zh-CN"/>
        </w:rPr>
        <w:t>。</w:t>
      </w:r>
    </w:p>
    <w:p w14:paraId="03CC5C6B">
      <w:pPr>
        <w:pStyle w:val="166"/>
        <w:bidi w:val="0"/>
      </w:pPr>
      <w:r>
        <w:rPr>
          <w:rFonts w:hint="eastAsia"/>
          <w:lang w:val="en-US" w:eastAsia="zh-CN"/>
        </w:rPr>
        <w:t>应</w:t>
      </w:r>
      <w:r>
        <w:rPr>
          <w:rFonts w:hint="eastAsia"/>
        </w:rPr>
        <w:t>具</w:t>
      </w:r>
      <w:r>
        <w:rPr>
          <w:rFonts w:hint="eastAsia"/>
          <w:lang w:val="en-US" w:eastAsia="zh-CN"/>
        </w:rPr>
        <w:t>有</w:t>
      </w:r>
      <w:r>
        <w:rPr>
          <w:rFonts w:hint="eastAsia"/>
        </w:rPr>
        <w:t>端口正负极的实时绝缘监测功能，当绝缘电阻低于</w:t>
      </w:r>
      <w:r>
        <w:rPr>
          <w:rFonts w:hint="eastAsia"/>
          <w:lang w:val="en-US" w:eastAsia="zh-CN"/>
        </w:rPr>
        <w:t>设定值时，应迅速发出警告</w:t>
      </w:r>
      <w:r>
        <w:rPr>
          <w:rFonts w:hint="eastAsia"/>
        </w:rPr>
        <w:t>。</w:t>
      </w:r>
    </w:p>
    <w:p w14:paraId="47B84A3B">
      <w:pPr>
        <w:pStyle w:val="166"/>
        <w:bidi w:val="0"/>
      </w:pPr>
      <w:r>
        <w:rPr>
          <w:rFonts w:hint="eastAsia"/>
        </w:rPr>
        <w:t>应具备与上层能量管理系统的通信接口，支持实时功率指令接收与执行</w:t>
      </w:r>
      <w:r>
        <w:rPr>
          <w:rFonts w:hint="eastAsia"/>
          <w:lang w:eastAsia="zh-CN"/>
        </w:rPr>
        <w:t>。支持与电动汽车BMS系统的间接通信，获取充电需求信息。</w:t>
      </w:r>
    </w:p>
    <w:p w14:paraId="459DFABD">
      <w:pPr>
        <w:pStyle w:val="166"/>
        <w:bidi w:val="0"/>
      </w:pPr>
      <w:r>
        <w:rPr>
          <w:rFonts w:hint="eastAsia"/>
          <w:lang w:val="en-US" w:eastAsia="zh-CN"/>
        </w:rPr>
        <w:t>应</w:t>
      </w:r>
      <w:r>
        <w:rPr>
          <w:rFonts w:hint="eastAsia"/>
        </w:rPr>
        <w:t>采用模块化设计，单个功率模块故障时，系统应能自动隔离故障模块并重新分配功率，不影响其他模块正常运行</w:t>
      </w:r>
      <w:r>
        <w:rPr>
          <w:rFonts w:hint="eastAsia"/>
          <w:lang w:eastAsia="zh-CN"/>
        </w:rPr>
        <w:t>。</w:t>
      </w:r>
    </w:p>
    <w:p w14:paraId="5F2A418E">
      <w:pPr>
        <w:pStyle w:val="106"/>
        <w:bidi w:val="0"/>
        <w:ind w:left="0" w:leftChars="0" w:firstLine="0" w:firstLineChars="0"/>
      </w:pPr>
      <w:bookmarkStart w:id="84" w:name="_Toc8885"/>
      <w:r>
        <w:rPr>
          <w:rFonts w:hint="eastAsia"/>
          <w:lang w:val="en-US" w:eastAsia="zh-CN"/>
        </w:rPr>
        <w:t>保护功能</w:t>
      </w:r>
      <w:bookmarkEnd w:id="84"/>
    </w:p>
    <w:p w14:paraId="4CBA5772">
      <w:pPr>
        <w:pStyle w:val="166"/>
        <w:bidi w:val="0"/>
        <w:rPr>
          <w:rFonts w:hint="eastAsia"/>
          <w:lang w:eastAsia="zh-CN"/>
        </w:rPr>
      </w:pPr>
      <w:r>
        <w:rPr>
          <w:rFonts w:hint="eastAsia"/>
        </w:rPr>
        <w:t>应具备输入过压、过流、缺相、频率异常及接地故障保护功能。</w:t>
      </w:r>
    </w:p>
    <w:p w14:paraId="4B6EB07C">
      <w:pPr>
        <w:pStyle w:val="166"/>
        <w:bidi w:val="0"/>
        <w:rPr>
          <w:rFonts w:hint="eastAsia"/>
          <w:lang w:eastAsia="zh-CN"/>
        </w:rPr>
      </w:pPr>
      <w:r>
        <w:rPr>
          <w:rFonts w:hint="eastAsia"/>
        </w:rPr>
        <w:t>应具备过温、过</w:t>
      </w:r>
      <w:r>
        <w:rPr>
          <w:rFonts w:hint="eastAsia"/>
          <w:lang w:val="en-US" w:eastAsia="zh-CN"/>
        </w:rPr>
        <w:t>载</w:t>
      </w:r>
      <w:r>
        <w:rPr>
          <w:rFonts w:hint="eastAsia"/>
        </w:rPr>
        <w:t>、模块故障、冷却系统故障保护功能；具备直流接触器触点粘连检测功能，可在充电前或断开后进行检测</w:t>
      </w:r>
      <w:r>
        <w:rPr>
          <w:rFonts w:hint="eastAsia"/>
          <w:lang w:eastAsia="zh-CN"/>
        </w:rPr>
        <w:t>。</w:t>
      </w:r>
    </w:p>
    <w:p w14:paraId="7A261F8A">
      <w:pPr>
        <w:pStyle w:val="166"/>
        <w:bidi w:val="0"/>
        <w:rPr>
          <w:rFonts w:hint="eastAsia"/>
          <w:lang w:eastAsia="zh-CN"/>
        </w:rPr>
      </w:pPr>
      <w:r>
        <w:rPr>
          <w:rFonts w:hint="eastAsia"/>
          <w:lang w:eastAsia="zh-CN"/>
        </w:rPr>
        <w:t>当检测到电动汽车电池过压、过流、温度异常时，应立即停止对应通道充电。</w:t>
      </w:r>
    </w:p>
    <w:p w14:paraId="1B906188">
      <w:pPr>
        <w:pStyle w:val="166"/>
        <w:bidi w:val="0"/>
        <w:rPr>
          <w:rFonts w:hint="eastAsia"/>
          <w:lang w:eastAsia="zh-CN"/>
        </w:rPr>
      </w:pPr>
      <w:r>
        <w:rPr>
          <w:rFonts w:hint="eastAsia"/>
          <w:lang w:eastAsia="zh-CN"/>
        </w:rPr>
        <w:t>当充电连接异常时，应立即切断输出并发出报警信号。</w:t>
      </w:r>
    </w:p>
    <w:p w14:paraId="12D30E3D">
      <w:pPr>
        <w:pStyle w:val="166"/>
        <w:bidi w:val="0"/>
        <w:rPr>
          <w:rFonts w:hint="eastAsia"/>
          <w:lang w:eastAsia="zh-CN"/>
        </w:rPr>
      </w:pPr>
      <w:r>
        <w:rPr>
          <w:rFonts w:hint="eastAsia"/>
          <w:lang w:eastAsia="zh-CN"/>
        </w:rPr>
        <w:t>具备开门保护功能，当设备门打开导致带电部分露出时，应切断相关电源。</w:t>
      </w:r>
    </w:p>
    <w:p w14:paraId="697ECE39">
      <w:pPr>
        <w:pStyle w:val="166"/>
        <w:bidi w:val="0"/>
        <w:rPr>
          <w:rFonts w:hint="eastAsia"/>
          <w:highlight w:val="none"/>
          <w:lang w:eastAsia="zh-CN"/>
        </w:rPr>
      </w:pPr>
      <w:r>
        <w:rPr>
          <w:rFonts w:hint="eastAsia"/>
          <w:highlight w:val="none"/>
          <w:lang w:eastAsia="zh-CN"/>
        </w:rPr>
        <w:t>当与电动汽车</w:t>
      </w:r>
      <w:r>
        <w:rPr>
          <w:rFonts w:hint="eastAsia"/>
          <w:highlight w:val="none"/>
          <w:lang w:val="en-US" w:eastAsia="zh-CN"/>
        </w:rPr>
        <w:t>电池管理系统</w:t>
      </w:r>
      <w:r>
        <w:rPr>
          <w:rFonts w:hint="eastAsia"/>
          <w:highlight w:val="none"/>
          <w:lang w:eastAsia="zh-CN"/>
        </w:rPr>
        <w:t>发生通信中断、数据异常等故障时，应立即停止充电，防止因通信故障导致过充、过流等问题。</w:t>
      </w:r>
    </w:p>
    <w:p w14:paraId="489838DF">
      <w:pPr>
        <w:pStyle w:val="106"/>
        <w:bidi w:val="0"/>
        <w:ind w:left="0" w:leftChars="0" w:firstLine="0" w:firstLineChars="0"/>
      </w:pPr>
      <w:bookmarkStart w:id="85" w:name="_Toc20491"/>
      <w:r>
        <w:rPr>
          <w:rFonts w:hint="eastAsia"/>
          <w:lang w:val="en-US" w:eastAsia="zh-CN"/>
        </w:rPr>
        <w:t>电磁兼容性</w:t>
      </w:r>
      <w:bookmarkEnd w:id="85"/>
    </w:p>
    <w:p w14:paraId="7D4F14FA">
      <w:pPr>
        <w:pStyle w:val="57"/>
        <w:rPr>
          <w:rFonts w:hint="eastAsia"/>
          <w:highlight w:val="yellow"/>
          <w:lang w:val="en-US" w:eastAsia="zh-CN"/>
        </w:rPr>
      </w:pPr>
      <w:r>
        <w:rPr>
          <w:rFonts w:hint="eastAsia"/>
          <w:lang w:val="en-US" w:eastAsia="zh-CN"/>
        </w:rPr>
        <w:t>变压器的电磁兼容性应符合GB/T 14598.26的规定。</w:t>
      </w:r>
    </w:p>
    <w:p w14:paraId="58F3361E">
      <w:pPr>
        <w:pStyle w:val="105"/>
        <w:bidi w:val="0"/>
        <w:ind w:left="0" w:leftChars="0" w:firstLine="0" w:firstLineChars="0"/>
        <w:rPr>
          <w:rFonts w:hint="default"/>
          <w:highlight w:val="none"/>
          <w:lang w:val="en-US" w:eastAsia="zh-CN"/>
        </w:rPr>
      </w:pPr>
      <w:bookmarkStart w:id="86" w:name="_Toc21803"/>
      <w:r>
        <w:rPr>
          <w:rFonts w:hint="eastAsia"/>
          <w:lang w:val="en-US" w:eastAsia="zh-CN"/>
        </w:rPr>
        <w:t>试验方法</w:t>
      </w:r>
      <w:bookmarkEnd w:id="86"/>
    </w:p>
    <w:p w14:paraId="090C1551">
      <w:pPr>
        <w:pStyle w:val="106"/>
        <w:bidi w:val="0"/>
        <w:ind w:left="0" w:leftChars="0" w:firstLine="0" w:firstLineChars="0"/>
        <w:rPr>
          <w:rFonts w:hint="eastAsia"/>
          <w:lang w:val="en-US" w:eastAsia="zh-CN"/>
        </w:rPr>
      </w:pPr>
      <w:bookmarkStart w:id="87" w:name="_Toc19860"/>
      <w:r>
        <w:rPr>
          <w:rFonts w:hint="eastAsia"/>
          <w:lang w:val="en-US" w:eastAsia="zh-CN"/>
        </w:rPr>
        <w:t>外观与结构检查</w:t>
      </w:r>
      <w:bookmarkEnd w:id="87"/>
    </w:p>
    <w:p w14:paraId="0804CBA8">
      <w:pPr>
        <w:pStyle w:val="66"/>
        <w:bidi w:val="0"/>
        <w:rPr>
          <w:rFonts w:hint="default"/>
          <w:lang w:val="en-US" w:eastAsia="zh-CN"/>
        </w:rPr>
      </w:pPr>
      <w:r>
        <w:rPr>
          <w:rFonts w:hint="eastAsia"/>
          <w:lang w:val="en-US" w:eastAsia="zh-CN"/>
        </w:rPr>
        <w:t>外观质量检查</w:t>
      </w:r>
    </w:p>
    <w:p w14:paraId="3B863DA8">
      <w:pPr>
        <w:pStyle w:val="57"/>
        <w:rPr>
          <w:rFonts w:hint="default"/>
          <w:lang w:val="en-US" w:eastAsia="zh-CN"/>
        </w:rPr>
      </w:pPr>
      <w:r>
        <w:rPr>
          <w:rFonts w:hint="default"/>
          <w:lang w:val="en-US" w:eastAsia="zh-CN"/>
        </w:rPr>
        <w:t>采用目测法检查设备外壳、零部件表面质量及标识清晰度</w:t>
      </w:r>
      <w:r>
        <w:rPr>
          <w:rFonts w:hint="eastAsia"/>
          <w:lang w:val="en-US" w:eastAsia="zh-CN"/>
        </w:rPr>
        <w:t>、外露紧固件是否有防松措施以及涂层锈蚀情况。</w:t>
      </w:r>
    </w:p>
    <w:p w14:paraId="1ED97D09">
      <w:pPr>
        <w:pStyle w:val="66"/>
        <w:bidi w:val="0"/>
        <w:rPr>
          <w:rFonts w:hint="default"/>
          <w:lang w:val="en-US" w:eastAsia="zh-CN"/>
        </w:rPr>
      </w:pPr>
      <w:r>
        <w:rPr>
          <w:rFonts w:hint="eastAsia"/>
          <w:lang w:val="en-US" w:eastAsia="zh-CN"/>
        </w:rPr>
        <w:t>结构检查</w:t>
      </w:r>
    </w:p>
    <w:p w14:paraId="4449BCFE">
      <w:pPr>
        <w:pStyle w:val="165"/>
        <w:bidi w:val="0"/>
        <w:rPr>
          <w:rFonts w:hint="default"/>
          <w:lang w:val="en-US" w:eastAsia="zh-CN"/>
        </w:rPr>
      </w:pPr>
      <w:r>
        <w:rPr>
          <w:rFonts w:hint="eastAsia"/>
          <w:lang w:val="en-US" w:eastAsia="zh-CN"/>
        </w:rPr>
        <w:t>采用目测或工具测量，</w:t>
      </w:r>
      <w:r>
        <w:rPr>
          <w:rFonts w:hint="default"/>
          <w:lang w:val="en-US" w:eastAsia="zh-CN"/>
        </w:rPr>
        <w:t>检查内部布局、布线、紧固件、门盖装置</w:t>
      </w:r>
      <w:r>
        <w:rPr>
          <w:rFonts w:hint="eastAsia"/>
          <w:lang w:val="en-US" w:eastAsia="zh-CN"/>
        </w:rPr>
        <w:t>是否符合本文件中5.1.2的规定。</w:t>
      </w:r>
    </w:p>
    <w:p w14:paraId="1CEC8224">
      <w:pPr>
        <w:pStyle w:val="165"/>
        <w:bidi w:val="0"/>
        <w:rPr>
          <w:rFonts w:hint="default"/>
          <w:highlight w:val="none"/>
          <w:lang w:val="en-US" w:eastAsia="zh-CN"/>
        </w:rPr>
      </w:pPr>
      <w:r>
        <w:rPr>
          <w:rFonts w:hint="default"/>
          <w:highlight w:val="none"/>
          <w:lang w:val="en-US" w:eastAsia="zh-CN"/>
        </w:rPr>
        <w:t>带电锁闭测试：中压侧施加额定电压，使设备处于带电状态，尝试手动开启中压侧门体，验证联锁装置是否能可靠锁闭，门体无法强制开启。</w:t>
      </w:r>
    </w:p>
    <w:p w14:paraId="446CADC8">
      <w:pPr>
        <w:pStyle w:val="165"/>
        <w:bidi w:val="0"/>
        <w:rPr>
          <w:rFonts w:hint="default"/>
          <w:highlight w:val="none"/>
          <w:lang w:val="en-US" w:eastAsia="zh-CN"/>
        </w:rPr>
      </w:pPr>
      <w:r>
        <w:rPr>
          <w:rFonts w:hint="default"/>
          <w:highlight w:val="none"/>
          <w:lang w:val="en-US" w:eastAsia="zh-CN"/>
        </w:rPr>
        <w:t>开门断电测试：在设备带电状态下，解锁开启门体，检查中压侧电源</w:t>
      </w:r>
      <w:r>
        <w:rPr>
          <w:rFonts w:hint="eastAsia"/>
          <w:highlight w:val="none"/>
          <w:lang w:val="en-US" w:eastAsia="zh-CN"/>
        </w:rPr>
        <w:t>能否迅速</w:t>
      </w:r>
      <w:r>
        <w:rPr>
          <w:rFonts w:hint="default"/>
          <w:highlight w:val="none"/>
          <w:lang w:val="en-US" w:eastAsia="zh-CN"/>
        </w:rPr>
        <w:t>切断并报警</w:t>
      </w:r>
      <w:r>
        <w:rPr>
          <w:rFonts w:hint="eastAsia"/>
          <w:highlight w:val="none"/>
          <w:lang w:val="en-US" w:eastAsia="zh-CN"/>
        </w:rPr>
        <w:t>。</w:t>
      </w:r>
    </w:p>
    <w:p w14:paraId="51EE7A41">
      <w:pPr>
        <w:pStyle w:val="66"/>
        <w:bidi w:val="0"/>
        <w:rPr>
          <w:rFonts w:hint="default"/>
          <w:lang w:val="en-US" w:eastAsia="zh-CN"/>
        </w:rPr>
      </w:pPr>
      <w:r>
        <w:rPr>
          <w:rFonts w:hint="eastAsia"/>
          <w:lang w:val="en-US" w:eastAsia="zh-CN"/>
        </w:rPr>
        <w:t>防护等级</w:t>
      </w:r>
    </w:p>
    <w:p w14:paraId="28DB6386">
      <w:pPr>
        <w:pStyle w:val="57"/>
        <w:rPr>
          <w:rFonts w:hint="eastAsia"/>
          <w:lang w:val="en-US" w:eastAsia="zh-CN"/>
        </w:rPr>
      </w:pPr>
      <w:r>
        <w:rPr>
          <w:rFonts w:hint="default"/>
          <w:lang w:val="en-US" w:eastAsia="zh-CN"/>
        </w:rPr>
        <w:t>按照GB/T 4208规定的方法进行</w:t>
      </w:r>
      <w:r>
        <w:rPr>
          <w:rFonts w:hint="eastAsia"/>
          <w:lang w:val="en-US" w:eastAsia="zh-CN"/>
        </w:rPr>
        <w:t>IP</w:t>
      </w:r>
      <w:r>
        <w:rPr>
          <w:rFonts w:hint="default"/>
          <w:lang w:val="en-US" w:eastAsia="zh-CN"/>
        </w:rPr>
        <w:t>防护等级测试</w:t>
      </w:r>
      <w:r>
        <w:rPr>
          <w:rFonts w:hint="eastAsia"/>
          <w:lang w:val="en-US" w:eastAsia="zh-CN"/>
        </w:rPr>
        <w:t>。</w:t>
      </w:r>
    </w:p>
    <w:p w14:paraId="3535B260">
      <w:pPr>
        <w:pStyle w:val="66"/>
        <w:bidi w:val="0"/>
        <w:rPr>
          <w:rFonts w:hint="default"/>
          <w:highlight w:val="none"/>
          <w:lang w:val="en-US" w:eastAsia="zh-CN"/>
        </w:rPr>
      </w:pPr>
      <w:r>
        <w:rPr>
          <w:rFonts w:hint="eastAsia"/>
          <w:highlight w:val="none"/>
          <w:lang w:val="en-US" w:eastAsia="zh-CN"/>
        </w:rPr>
        <w:t>主电路连接线检查</w:t>
      </w:r>
    </w:p>
    <w:p w14:paraId="704A249F">
      <w:pPr>
        <w:pStyle w:val="165"/>
        <w:bidi w:val="0"/>
        <w:rPr>
          <w:rFonts w:hint="default"/>
          <w:highlight w:val="none"/>
          <w:lang w:val="en-US" w:eastAsia="zh-CN"/>
        </w:rPr>
      </w:pPr>
      <w:r>
        <w:rPr>
          <w:rFonts w:hint="default"/>
          <w:highlight w:val="none"/>
          <w:lang w:val="en-US" w:eastAsia="zh-CN"/>
        </w:rPr>
        <w:t>准备一个能够提供稳定电流输出的直流或交流电源，其输出电流范围应能满足至少1.</w:t>
      </w:r>
      <w:r>
        <w:rPr>
          <w:rFonts w:hint="eastAsia"/>
          <w:highlight w:val="none"/>
          <w:lang w:val="en-US" w:eastAsia="zh-CN"/>
        </w:rPr>
        <w:t>2</w:t>
      </w:r>
      <w:r>
        <w:rPr>
          <w:rFonts w:hint="default"/>
          <w:highlight w:val="none"/>
          <w:lang w:val="en-US" w:eastAsia="zh-CN"/>
        </w:rPr>
        <w:t>倍额定电流的要求。将主电路连接线接入测试电路中，调整电源输出，使连接线通过1.</w:t>
      </w:r>
      <w:r>
        <w:rPr>
          <w:rFonts w:hint="eastAsia"/>
          <w:highlight w:val="none"/>
          <w:lang w:val="en-US" w:eastAsia="zh-CN"/>
        </w:rPr>
        <w:t>2</w:t>
      </w:r>
      <w:r>
        <w:rPr>
          <w:rFonts w:hint="default"/>
          <w:highlight w:val="none"/>
          <w:lang w:val="en-US" w:eastAsia="zh-CN"/>
        </w:rPr>
        <w:t>倍额定电流。在连接线表面均匀布置多个温度监测点，使用温度计、热电偶或红外热像仪等设备，实时监测连接线在通流过程中的温度变化情况。持续通流一段时间，待温度达到稳定状态后，记录下各监测点的最高温度。根据连接线的材质和绝缘材料的耐热等级，判断其温度是否在允许范围内，若温度过高，超出了相应材料的耐热极限，则表明主电路连接线的长期允许电流不符合不小于1.</w:t>
      </w:r>
      <w:r>
        <w:rPr>
          <w:rFonts w:hint="eastAsia"/>
          <w:highlight w:val="none"/>
          <w:lang w:val="en-US" w:eastAsia="zh-CN"/>
        </w:rPr>
        <w:t>2</w:t>
      </w:r>
      <w:r>
        <w:rPr>
          <w:rFonts w:hint="default"/>
          <w:highlight w:val="none"/>
          <w:lang w:val="en-US" w:eastAsia="zh-CN"/>
        </w:rPr>
        <w:t>倍额定电流的要求。</w:t>
      </w:r>
    </w:p>
    <w:p w14:paraId="6CA7D79E">
      <w:pPr>
        <w:pStyle w:val="165"/>
        <w:bidi w:val="0"/>
        <w:rPr>
          <w:rFonts w:hint="default"/>
          <w:highlight w:val="none"/>
          <w:lang w:val="en-US" w:eastAsia="zh-CN"/>
        </w:rPr>
      </w:pPr>
      <w:r>
        <w:rPr>
          <w:rFonts w:hint="eastAsia"/>
          <w:highlight w:val="none"/>
          <w:lang w:val="en-US" w:eastAsia="zh-CN"/>
        </w:rPr>
        <w:t>采用</w:t>
      </w:r>
      <w:r>
        <w:rPr>
          <w:rFonts w:hint="default"/>
          <w:highlight w:val="none"/>
          <w:lang w:val="en-US" w:eastAsia="zh-CN"/>
        </w:rPr>
        <w:t>目测</w:t>
      </w:r>
      <w:r>
        <w:rPr>
          <w:rFonts w:hint="eastAsia"/>
          <w:highlight w:val="none"/>
          <w:lang w:val="en-US" w:eastAsia="zh-CN"/>
        </w:rPr>
        <w:t>法</w:t>
      </w:r>
      <w:r>
        <w:rPr>
          <w:rFonts w:hint="default"/>
          <w:highlight w:val="none"/>
          <w:lang w:val="en-US" w:eastAsia="zh-CN"/>
        </w:rPr>
        <w:t>检查连接线连接是否牢固、无自由晃动，布线整齐美观，导线标识清晰，绝缘层无损伤。</w:t>
      </w:r>
    </w:p>
    <w:p w14:paraId="4FB5C3D3">
      <w:pPr>
        <w:pStyle w:val="106"/>
        <w:bidi w:val="0"/>
        <w:ind w:left="0" w:leftChars="0" w:firstLine="0" w:firstLineChars="0"/>
        <w:rPr>
          <w:rFonts w:hint="eastAsia"/>
          <w:lang w:val="en-US" w:eastAsia="zh-CN"/>
        </w:rPr>
      </w:pPr>
      <w:bookmarkStart w:id="88" w:name="_Toc32620"/>
      <w:r>
        <w:rPr>
          <w:rFonts w:hint="eastAsia"/>
          <w:lang w:val="en-US" w:eastAsia="zh-CN"/>
        </w:rPr>
        <w:t>电气性能测试</w:t>
      </w:r>
      <w:bookmarkEnd w:id="88"/>
    </w:p>
    <w:p w14:paraId="57EBCEA5">
      <w:pPr>
        <w:pStyle w:val="66"/>
        <w:bidi w:val="0"/>
        <w:ind w:left="0" w:leftChars="0" w:firstLine="0" w:firstLineChars="0"/>
        <w:rPr>
          <w:rFonts w:hint="default"/>
          <w:lang w:val="en-US" w:eastAsia="zh-CN"/>
        </w:rPr>
      </w:pPr>
      <w:r>
        <w:rPr>
          <w:rFonts w:hint="eastAsia"/>
          <w:lang w:val="en-US" w:eastAsia="zh-CN"/>
        </w:rPr>
        <w:t>功率因数试验</w:t>
      </w:r>
    </w:p>
    <w:p w14:paraId="64E08BD8">
      <w:pPr>
        <w:pStyle w:val="57"/>
        <w:rPr>
          <w:rFonts w:hint="default"/>
          <w:lang w:val="en-US" w:eastAsia="zh-CN"/>
        </w:rPr>
      </w:pPr>
      <w:r>
        <w:rPr>
          <w:rFonts w:hint="default"/>
          <w:lang w:val="en-US" w:eastAsia="zh-CN"/>
        </w:rPr>
        <w:t>在额定输入电压、额定负载工况下，采用电能质量分析仪测量设备输入侧的功率因数</w:t>
      </w:r>
      <w:r>
        <w:rPr>
          <w:rFonts w:hint="eastAsia"/>
          <w:lang w:val="en-US" w:eastAsia="zh-CN"/>
        </w:rPr>
        <w:t>。</w:t>
      </w:r>
    </w:p>
    <w:p w14:paraId="7107FB5C">
      <w:pPr>
        <w:pStyle w:val="66"/>
        <w:bidi w:val="0"/>
        <w:ind w:left="0" w:leftChars="0" w:firstLine="0" w:firstLineChars="0"/>
        <w:rPr>
          <w:rFonts w:hint="default"/>
          <w:lang w:val="en-US" w:eastAsia="zh-CN"/>
        </w:rPr>
      </w:pPr>
      <w:r>
        <w:rPr>
          <w:rFonts w:hint="eastAsia"/>
          <w:lang w:val="en-US" w:eastAsia="zh-CN"/>
        </w:rPr>
        <w:t>总谐波畸变率试验</w:t>
      </w:r>
    </w:p>
    <w:p w14:paraId="019A7DEC">
      <w:pPr>
        <w:pStyle w:val="57"/>
        <w:rPr>
          <w:rFonts w:hint="default"/>
          <w:lang w:val="en-US" w:eastAsia="zh-CN"/>
        </w:rPr>
      </w:pPr>
      <w:r>
        <w:rPr>
          <w:rFonts w:hint="default"/>
          <w:lang w:val="en-US" w:eastAsia="zh-CN"/>
        </w:rPr>
        <w:t>在额定输入电压、额定负载工况下，采用电能质量分析仪测量总谐波畸变率</w:t>
      </w:r>
      <w:r>
        <w:rPr>
          <w:rFonts w:hint="eastAsia"/>
          <w:lang w:val="en-US" w:eastAsia="zh-CN"/>
        </w:rPr>
        <w:t>。</w:t>
      </w:r>
    </w:p>
    <w:p w14:paraId="1ECAB3EE">
      <w:pPr>
        <w:pStyle w:val="66"/>
        <w:bidi w:val="0"/>
        <w:ind w:left="0" w:leftChars="0" w:firstLine="0" w:firstLineChars="0"/>
        <w:rPr>
          <w:rFonts w:hint="default"/>
          <w:lang w:val="en-US" w:eastAsia="zh-CN"/>
        </w:rPr>
      </w:pPr>
      <w:r>
        <w:rPr>
          <w:rFonts w:hint="eastAsia"/>
          <w:lang w:val="en-US" w:eastAsia="zh-CN"/>
        </w:rPr>
        <w:t>效率试验</w:t>
      </w:r>
    </w:p>
    <w:p w14:paraId="385A86BE">
      <w:pPr>
        <w:pStyle w:val="57"/>
        <w:rPr>
          <w:rFonts w:hint="eastAsia"/>
          <w:lang w:val="en-US" w:eastAsia="zh-CN"/>
        </w:rPr>
      </w:pPr>
      <w:r>
        <w:rPr>
          <w:rFonts w:hint="default"/>
          <w:lang w:val="en-US" w:eastAsia="zh-CN"/>
        </w:rPr>
        <w:t>在额定输入电压下，分别在25%、50%、75%、100%额定负载下测量</w:t>
      </w:r>
      <w:r>
        <w:rPr>
          <w:rFonts w:hint="eastAsia"/>
          <w:lang w:val="en-US" w:eastAsia="zh-CN"/>
        </w:rPr>
        <w:t>变压器</w:t>
      </w:r>
      <w:r>
        <w:rPr>
          <w:rFonts w:hint="default"/>
          <w:lang w:val="en-US" w:eastAsia="zh-CN"/>
        </w:rPr>
        <w:t>的输入功率和输出功率，</w:t>
      </w:r>
      <w:r>
        <w:rPr>
          <w:rFonts w:hint="eastAsia"/>
          <w:lang w:val="en-US" w:eastAsia="zh-CN"/>
        </w:rPr>
        <w:t>效率</w:t>
      </w:r>
      <w:r>
        <w:rPr>
          <w:rFonts w:hint="default"/>
          <w:lang w:val="en-US" w:eastAsia="zh-CN"/>
        </w:rPr>
        <w:t>按</w:t>
      </w:r>
      <w:r>
        <w:rPr>
          <w:rFonts w:hint="eastAsia"/>
          <w:lang w:val="en-US" w:eastAsia="zh-CN"/>
        </w:rPr>
        <w:t>式（1）进行计算。</w:t>
      </w:r>
    </w:p>
    <w:p w14:paraId="62BF605D">
      <w:pPr>
        <w:keepNext w:val="0"/>
        <w:keepLines w:val="0"/>
        <w:pageBreakBefore w:val="0"/>
        <w:widowControl w:val="0"/>
        <w:kinsoku/>
        <w:wordWrap/>
        <w:overflowPunct/>
        <w:topLinePunct w:val="0"/>
        <w:autoSpaceDE/>
        <w:autoSpaceDN/>
        <w:bidi w:val="0"/>
        <w:adjustRightInd w:val="0"/>
        <w:snapToGrid/>
        <w:spacing w:line="240" w:lineRule="auto"/>
        <w:jc w:val="right"/>
        <w:textAlignment w:val="auto"/>
        <w:rPr>
          <w:rFonts w:hint="eastAsia" w:hAnsi="Cambria Math" w:cs="宋体"/>
          <w:i w:val="0"/>
          <w:iCs/>
          <w:lang w:val="en-US" w:eastAsia="zh-CN"/>
        </w:rPr>
      </w:pPr>
      <m:oMath>
        <m:r>
          <m:rPr/>
          <w:rPr>
            <w:rFonts w:hint="default" w:ascii="Cambria Math" w:hAnsi="Cambria Math" w:eastAsia="宋体" w:cs="Cambria Math"/>
            <w:sz w:val="21"/>
            <w:lang w:val="en-US"/>
          </w:rPr>
          <m:t>η</m:t>
        </m:r>
        <m:r>
          <m:rPr/>
          <w:rPr>
            <w:rFonts w:hint="default" w:ascii="Cambria Math" w:hAnsi="Cambria Math" w:eastAsia="宋体" w:cs="Cambria Math"/>
            <w:sz w:val="21"/>
            <w:lang w:val="en-US" w:eastAsia="zh-CN"/>
          </w:rPr>
          <m:t>=</m:t>
        </m:r>
        <m:f>
          <m:fPr>
            <m:ctrlPr>
              <w:rPr>
                <w:rFonts w:hint="default" w:ascii="Cambria Math" w:hAnsi="Cambria Math" w:eastAsia="宋体" w:cs="Cambria Math"/>
                <w:i/>
                <w:iCs w:val="0"/>
                <w:sz w:val="21"/>
                <w:lang w:val="en-US" w:eastAsia="zh-CN"/>
              </w:rPr>
            </m:ctrlPr>
          </m:fPr>
          <m:num>
            <m:sSub>
              <m:sSubPr>
                <m:ctrlPr>
                  <w:rPr>
                    <w:rFonts w:hint="default" w:ascii="Cambria Math" w:hAnsi="Cambria Math" w:eastAsia="宋体" w:cs="Cambria Math"/>
                    <w:i/>
                    <w:iCs w:val="0"/>
                    <w:sz w:val="21"/>
                    <w:lang w:val="en-US" w:eastAsia="zh-CN"/>
                  </w:rPr>
                </m:ctrlPr>
              </m:sSubPr>
              <m:e>
                <m:r>
                  <m:rPr/>
                  <w:rPr>
                    <w:rFonts w:hint="default" w:ascii="Cambria Math" w:hAnsi="Cambria Math" w:eastAsia="宋体" w:cs="Cambria Math"/>
                    <w:sz w:val="21"/>
                    <w:lang w:val="en-US" w:eastAsia="zh-CN"/>
                  </w:rPr>
                  <m:t>P</m:t>
                </m:r>
                <m:ctrlPr>
                  <w:rPr>
                    <w:rFonts w:hint="default" w:ascii="Cambria Math" w:hAnsi="Cambria Math" w:eastAsia="宋体" w:cs="Cambria Math"/>
                    <w:i/>
                    <w:iCs w:val="0"/>
                    <w:sz w:val="21"/>
                    <w:lang w:val="en-US" w:eastAsia="zh-CN"/>
                  </w:rPr>
                </m:ctrlPr>
              </m:e>
              <m:sub>
                <m:r>
                  <m:rPr/>
                  <w:rPr>
                    <w:rFonts w:hint="default" w:ascii="Cambria Math" w:hAnsi="Cambria Math" w:eastAsia="宋体" w:cs="Cambria Math"/>
                    <w:sz w:val="21"/>
                    <w:lang w:val="en-US" w:eastAsia="zh-CN"/>
                  </w:rPr>
                  <m:t>2</m:t>
                </m:r>
                <m:ctrlPr>
                  <w:rPr>
                    <w:rFonts w:hint="default" w:ascii="Cambria Math" w:hAnsi="Cambria Math" w:eastAsia="宋体" w:cs="Cambria Math"/>
                    <w:i/>
                    <w:iCs w:val="0"/>
                    <w:sz w:val="21"/>
                    <w:lang w:val="en-US" w:eastAsia="zh-CN"/>
                  </w:rPr>
                </m:ctrlPr>
              </m:sub>
            </m:sSub>
            <m:ctrlPr>
              <w:rPr>
                <w:rFonts w:hint="default" w:ascii="Cambria Math" w:hAnsi="Cambria Math" w:eastAsia="宋体" w:cs="Cambria Math"/>
                <w:i/>
                <w:iCs w:val="0"/>
                <w:sz w:val="21"/>
                <w:lang w:val="en-US" w:eastAsia="zh-CN"/>
              </w:rPr>
            </m:ctrlPr>
          </m:num>
          <m:den>
            <m:sSub>
              <m:sSubPr>
                <m:ctrlPr>
                  <w:rPr>
                    <w:rFonts w:hint="default" w:ascii="Cambria Math" w:hAnsi="Cambria Math" w:eastAsia="宋体" w:cs="Cambria Math"/>
                    <w:i/>
                    <w:iCs w:val="0"/>
                    <w:sz w:val="21"/>
                    <w:lang w:val="en-US" w:eastAsia="zh-CN"/>
                  </w:rPr>
                </m:ctrlPr>
              </m:sSubPr>
              <m:e>
                <m:r>
                  <m:rPr/>
                  <w:rPr>
                    <w:rFonts w:hint="default" w:ascii="Cambria Math" w:hAnsi="Cambria Math" w:eastAsia="宋体" w:cs="Cambria Math"/>
                    <w:sz w:val="21"/>
                    <w:lang w:val="en-US" w:eastAsia="zh-CN"/>
                  </w:rPr>
                  <m:t>P</m:t>
                </m:r>
                <m:ctrlPr>
                  <w:rPr>
                    <w:rFonts w:hint="default" w:ascii="Cambria Math" w:hAnsi="Cambria Math" w:eastAsia="宋体" w:cs="Cambria Math"/>
                    <w:i/>
                    <w:iCs w:val="0"/>
                    <w:sz w:val="21"/>
                    <w:lang w:val="en-US" w:eastAsia="zh-CN"/>
                  </w:rPr>
                </m:ctrlPr>
              </m:e>
              <m:sub>
                <m:r>
                  <m:rPr/>
                  <w:rPr>
                    <w:rFonts w:hint="default" w:ascii="Cambria Math" w:hAnsi="Cambria Math" w:eastAsia="宋体" w:cs="Cambria Math"/>
                    <w:sz w:val="21"/>
                    <w:lang w:val="en-US" w:eastAsia="zh-CN"/>
                  </w:rPr>
                  <m:t>1</m:t>
                </m:r>
                <m:ctrlPr>
                  <w:rPr>
                    <w:rFonts w:hint="default" w:ascii="Cambria Math" w:hAnsi="Cambria Math" w:eastAsia="宋体" w:cs="Cambria Math"/>
                    <w:i/>
                    <w:iCs w:val="0"/>
                    <w:sz w:val="21"/>
                    <w:lang w:val="en-US" w:eastAsia="zh-CN"/>
                  </w:rPr>
                </m:ctrlPr>
              </m:sub>
            </m:sSub>
            <m:ctrlPr>
              <w:rPr>
                <w:rFonts w:hint="default" w:ascii="Cambria Math" w:hAnsi="Cambria Math" w:eastAsia="宋体" w:cs="Cambria Math"/>
                <w:i/>
                <w:iCs w:val="0"/>
                <w:sz w:val="21"/>
                <w:lang w:val="en-US" w:eastAsia="zh-CN"/>
              </w:rPr>
            </m:ctrlPr>
          </m:den>
        </m:f>
        <m:r>
          <m:rPr/>
          <w:rPr>
            <w:rFonts w:hint="default" w:ascii="Cambria Math" w:hAnsi="Cambria Math" w:eastAsia="宋体" w:cs="Cambria Math"/>
            <w:sz w:val="21"/>
            <w:lang w:val="en-US"/>
          </w:rPr>
          <m:t>×</m:t>
        </m:r>
        <m:r>
          <m:rPr/>
          <w:rPr>
            <w:rFonts w:hint="default" w:ascii="Cambria Math" w:hAnsi="Cambria Math" w:eastAsia="宋体" w:cs="Cambria Math"/>
            <w:sz w:val="21"/>
            <w:lang w:val="en-US" w:eastAsia="zh-CN"/>
          </w:rPr>
          <m:t>100%</m:t>
        </m:r>
      </m:oMath>
      <w:r>
        <w:rPr>
          <w:rFonts w:hint="eastAsia"/>
        </w:rPr>
        <w:t>…………………………………………</w:t>
      </w:r>
      <w:r>
        <w:rPr>
          <w:rFonts w:hint="eastAsia" w:hAnsi="Cambria Math" w:cs="宋体"/>
          <w:i w:val="0"/>
          <w:iCs/>
          <w:lang w:val="en-US" w:eastAsia="zh-CN"/>
        </w:rPr>
        <w:t>（1）</w:t>
      </w:r>
    </w:p>
    <w:p w14:paraId="5F3BFE11">
      <w:pPr>
        <w:pStyle w:val="57"/>
        <w:bidi w:val="0"/>
        <w:rPr>
          <w:rFonts w:hint="eastAsia"/>
          <w:lang w:val="en-US" w:eastAsia="zh-CN"/>
        </w:rPr>
      </w:pPr>
      <w:r>
        <w:rPr>
          <w:rFonts w:hint="eastAsia"/>
          <w:lang w:val="en-US" w:eastAsia="zh-CN"/>
        </w:rPr>
        <w:t>式中：</w:t>
      </w:r>
    </w:p>
    <w:p w14:paraId="3E83D190">
      <w:pPr>
        <w:pStyle w:val="57"/>
        <w:bidi w:val="0"/>
        <w:rPr>
          <w:rFonts w:hint="eastAsia"/>
          <w:lang w:val="en-US" w:eastAsia="zh-CN"/>
        </w:rPr>
      </w:pPr>
      <w:r>
        <w:rPr>
          <w:rFonts w:hint="eastAsia"/>
          <w:i/>
          <w:iCs/>
          <w:lang w:val="en-US" w:eastAsia="zh-CN"/>
        </w:rPr>
        <w:t>η—</w:t>
      </w:r>
      <w:r>
        <w:rPr>
          <w:rFonts w:hint="eastAsia"/>
          <w:lang w:val="en-US" w:eastAsia="zh-CN"/>
        </w:rPr>
        <w:t>—效率，%；</w:t>
      </w:r>
    </w:p>
    <w:p w14:paraId="58257148">
      <w:pPr>
        <w:pStyle w:val="57"/>
        <w:bidi w:val="0"/>
        <w:rPr>
          <w:rFonts w:hint="eastAsia"/>
          <w:lang w:val="en-US" w:eastAsia="zh-CN"/>
        </w:rPr>
      </w:pPr>
      <w:r>
        <w:rPr>
          <w:rFonts w:hint="eastAsia"/>
          <w:i/>
          <w:iCs/>
          <w:lang w:val="en-US" w:eastAsia="zh-CN"/>
        </w:rPr>
        <w:t>P</w:t>
      </w:r>
      <w:r>
        <w:rPr>
          <w:rFonts w:hint="eastAsia"/>
          <w:i/>
          <w:iCs/>
          <w:vertAlign w:val="subscript"/>
          <w:lang w:val="en-US" w:eastAsia="zh-CN"/>
        </w:rPr>
        <w:t>2</w:t>
      </w:r>
      <w:r>
        <w:rPr>
          <w:rFonts w:hint="eastAsia"/>
          <w:i/>
          <w:iCs/>
          <w:lang w:val="en-US" w:eastAsia="zh-CN"/>
        </w:rPr>
        <w:t>—</w:t>
      </w:r>
      <w:r>
        <w:rPr>
          <w:rFonts w:hint="eastAsia"/>
          <w:lang w:val="en-US" w:eastAsia="zh-CN"/>
        </w:rPr>
        <w:t>—输出功率，kW；</w:t>
      </w:r>
    </w:p>
    <w:p w14:paraId="0C41DF6C">
      <w:pPr>
        <w:pStyle w:val="57"/>
        <w:bidi w:val="0"/>
        <w:rPr>
          <w:rFonts w:hint="eastAsia"/>
          <w:lang w:val="en-US" w:eastAsia="zh-CN"/>
        </w:rPr>
      </w:pPr>
      <w:r>
        <w:rPr>
          <w:rFonts w:hint="eastAsia"/>
          <w:i/>
          <w:iCs/>
          <w:lang w:val="en-US" w:eastAsia="zh-CN"/>
        </w:rPr>
        <w:t>P</w:t>
      </w:r>
      <w:r>
        <w:rPr>
          <w:rFonts w:hint="eastAsia"/>
          <w:i/>
          <w:iCs/>
          <w:vertAlign w:val="subscript"/>
          <w:lang w:val="en-US" w:eastAsia="zh-CN"/>
        </w:rPr>
        <w:t>1</w:t>
      </w:r>
      <w:r>
        <w:rPr>
          <w:rFonts w:hint="eastAsia"/>
          <w:i/>
          <w:iCs/>
          <w:lang w:val="en-US" w:eastAsia="zh-CN"/>
        </w:rPr>
        <w:t>—</w:t>
      </w:r>
      <w:r>
        <w:rPr>
          <w:rFonts w:hint="eastAsia"/>
          <w:lang w:val="en-US" w:eastAsia="zh-CN"/>
        </w:rPr>
        <w:t>—输入功率，kW。</w:t>
      </w:r>
    </w:p>
    <w:p w14:paraId="5ECA9227">
      <w:pPr>
        <w:pStyle w:val="66"/>
        <w:bidi w:val="0"/>
        <w:ind w:left="0" w:leftChars="0" w:firstLine="0" w:firstLineChars="0"/>
        <w:rPr>
          <w:rFonts w:hint="default" w:hAnsi="Cambria Math" w:cs="宋体"/>
          <w:i w:val="0"/>
          <w:lang w:val="en-US" w:eastAsia="zh-CN"/>
        </w:rPr>
      </w:pPr>
      <w:r>
        <w:rPr>
          <w:rFonts w:hint="eastAsia" w:hAnsi="Cambria Math" w:cs="宋体"/>
          <w:i w:val="0"/>
          <w:lang w:val="en-US" w:eastAsia="zh-CN"/>
        </w:rPr>
        <w:t>电压调节能力试验</w:t>
      </w:r>
    </w:p>
    <w:p w14:paraId="6B77C385">
      <w:pPr>
        <w:pStyle w:val="57"/>
        <w:bidi w:val="0"/>
        <w:rPr>
          <w:rFonts w:hint="eastAsia" w:ascii="宋体" w:hAnsi="宋体" w:eastAsia="宋体" w:cs="宋体"/>
          <w:lang w:val="en-US" w:eastAsia="zh-CN"/>
        </w:rPr>
      </w:pPr>
      <w:r>
        <w:rPr>
          <w:rFonts w:hint="eastAsia" w:ascii="宋体" w:hAnsi="宋体" w:eastAsia="宋体" w:cs="宋体"/>
          <w:lang w:val="en-US" w:eastAsia="zh-CN"/>
        </w:rPr>
        <w:t>调节输入电压在±10%范围内变化，测量不同负载下的输出电压，检查电压调节范围及稳态偏差是否符合</w:t>
      </w:r>
      <w:r>
        <w:rPr>
          <w:rFonts w:hint="eastAsia" w:hAnsi="宋体" w:cs="宋体"/>
          <w:lang w:val="en-US" w:eastAsia="zh-CN"/>
        </w:rPr>
        <w:t>本文件中5.2.4的</w:t>
      </w:r>
      <w:r>
        <w:rPr>
          <w:rFonts w:hint="eastAsia" w:ascii="宋体" w:hAnsi="宋体" w:eastAsia="宋体" w:cs="宋体"/>
          <w:lang w:val="en-US" w:eastAsia="zh-CN"/>
        </w:rPr>
        <w:t>要求。</w:t>
      </w:r>
    </w:p>
    <w:p w14:paraId="6010DD6D">
      <w:pPr>
        <w:pStyle w:val="66"/>
        <w:bidi w:val="0"/>
        <w:ind w:left="0" w:leftChars="0" w:firstLine="0" w:firstLineChars="0"/>
        <w:rPr>
          <w:rFonts w:hint="default" w:hAnsi="宋体" w:cs="宋体"/>
          <w:lang w:val="en-US" w:eastAsia="zh-CN"/>
        </w:rPr>
      </w:pPr>
      <w:r>
        <w:rPr>
          <w:rFonts w:hint="eastAsia" w:hAnsi="宋体" w:cs="宋体"/>
          <w:lang w:val="en-US" w:eastAsia="zh-CN"/>
        </w:rPr>
        <w:t>电气安全距离试验</w:t>
      </w:r>
    </w:p>
    <w:p w14:paraId="0CE16D01">
      <w:pPr>
        <w:pStyle w:val="57"/>
        <w:bidi w:val="0"/>
        <w:rPr>
          <w:rFonts w:hint="default"/>
          <w:lang w:val="en-US" w:eastAsia="zh-CN"/>
        </w:rPr>
      </w:pPr>
      <w:r>
        <w:rPr>
          <w:rFonts w:hint="default"/>
          <w:lang w:val="en-US" w:eastAsia="zh-CN"/>
        </w:rPr>
        <w:t>检验</w:t>
      </w:r>
      <w:r>
        <w:rPr>
          <w:rFonts w:hint="eastAsia"/>
          <w:lang w:val="en-US" w:eastAsia="zh-CN"/>
        </w:rPr>
        <w:t>本文件中5.2.5的</w:t>
      </w:r>
      <w:r>
        <w:rPr>
          <w:rFonts w:hint="default"/>
          <w:lang w:val="en-US" w:eastAsia="zh-CN"/>
        </w:rPr>
        <w:t>电气间隙和爬电距离，用测量工具测量规定部位的最小间隙，试验结果应符合本文件</w:t>
      </w:r>
      <w:r>
        <w:rPr>
          <w:rFonts w:hint="eastAsia"/>
          <w:lang w:val="en-US" w:eastAsia="zh-CN"/>
        </w:rPr>
        <w:t>中5.2.5</w:t>
      </w:r>
      <w:r>
        <w:rPr>
          <w:rFonts w:hint="default"/>
          <w:lang w:val="en-US" w:eastAsia="zh-CN"/>
        </w:rPr>
        <w:t>的要求。</w:t>
      </w:r>
    </w:p>
    <w:p w14:paraId="25ED470F">
      <w:pPr>
        <w:pStyle w:val="66"/>
        <w:bidi w:val="0"/>
        <w:ind w:left="0" w:leftChars="0" w:firstLine="0" w:firstLineChars="0"/>
        <w:rPr>
          <w:rFonts w:hint="default" w:ascii="宋体" w:hAnsi="宋体" w:eastAsia="宋体" w:cs="宋体"/>
          <w:lang w:val="en-US" w:eastAsia="zh-CN"/>
        </w:rPr>
      </w:pPr>
      <w:r>
        <w:rPr>
          <w:rFonts w:hint="eastAsia" w:hAnsi="宋体" w:cs="宋体"/>
          <w:lang w:val="en-US" w:eastAsia="zh-CN"/>
        </w:rPr>
        <w:t>电气防护试验</w:t>
      </w:r>
    </w:p>
    <w:p w14:paraId="04882AE1">
      <w:pPr>
        <w:pStyle w:val="165"/>
        <w:bidi w:val="0"/>
        <w:rPr>
          <w:rFonts w:hint="default"/>
          <w:lang w:val="en-US" w:eastAsia="zh-CN"/>
        </w:rPr>
      </w:pPr>
      <w:r>
        <w:rPr>
          <w:rFonts w:hint="default"/>
          <w:lang w:val="en-US" w:eastAsia="zh-CN"/>
        </w:rPr>
        <w:t>按照GB/T 17045规定的方法进行电气隔离验证，测量不同回路间的绝缘电阻</w:t>
      </w:r>
      <w:r>
        <w:rPr>
          <w:rFonts w:hint="eastAsia"/>
          <w:lang w:val="en-US" w:eastAsia="zh-CN"/>
        </w:rPr>
        <w:t>。</w:t>
      </w:r>
    </w:p>
    <w:p w14:paraId="019E2A95">
      <w:pPr>
        <w:pStyle w:val="165"/>
        <w:bidi w:val="0"/>
        <w:rPr>
          <w:rFonts w:hint="default"/>
          <w:lang w:val="en-US" w:eastAsia="zh-CN"/>
        </w:rPr>
      </w:pPr>
      <w:r>
        <w:rPr>
          <w:rFonts w:hint="eastAsia"/>
          <w:lang w:val="en-US" w:eastAsia="zh-CN"/>
        </w:rPr>
        <w:t>按照DL/T 475的规定，</w:t>
      </w:r>
      <w:r>
        <w:rPr>
          <w:rFonts w:hint="default"/>
          <w:lang w:val="en-US" w:eastAsia="zh-CN"/>
        </w:rPr>
        <w:t>使用四端法测量保护接地端子与外壳之间的连接电阻</w:t>
      </w:r>
      <w:r>
        <w:rPr>
          <w:rFonts w:hint="eastAsia"/>
          <w:lang w:val="en-US" w:eastAsia="zh-CN"/>
        </w:rPr>
        <w:t>。测试应在晴天进行，避免雨后24h内测试。连接电阻测量应重复3次，取算术平均值作为测试结果。</w:t>
      </w:r>
    </w:p>
    <w:p w14:paraId="31B77133">
      <w:pPr>
        <w:pStyle w:val="165"/>
        <w:bidi w:val="0"/>
        <w:rPr>
          <w:rFonts w:hint="default"/>
          <w:lang w:val="en-US" w:eastAsia="zh-CN"/>
        </w:rPr>
      </w:pPr>
      <w:r>
        <w:rPr>
          <w:rFonts w:hint="eastAsia"/>
          <w:lang w:val="en-US" w:eastAsia="zh-CN"/>
        </w:rPr>
        <w:t>采用目视法检查可触及金属部件的接地情况、放松动措施以及是否有醒目的标志。</w:t>
      </w:r>
    </w:p>
    <w:p w14:paraId="7CB89FCE">
      <w:pPr>
        <w:pStyle w:val="165"/>
        <w:bidi w:val="0"/>
        <w:rPr>
          <w:rFonts w:hint="default"/>
          <w:lang w:val="en-US" w:eastAsia="zh-CN"/>
        </w:rPr>
      </w:pPr>
      <w:r>
        <w:rPr>
          <w:rFonts w:hint="eastAsia"/>
          <w:lang w:val="en-US" w:eastAsia="zh-CN"/>
        </w:rPr>
        <w:t>按照</w:t>
      </w:r>
      <w:r>
        <w:rPr>
          <w:rFonts w:hint="eastAsia"/>
          <w:lang w:eastAsia="zh-CN"/>
        </w:rPr>
        <w:t xml:space="preserve">GB/T </w:t>
      </w:r>
      <w:r>
        <w:rPr>
          <w:rFonts w:hint="eastAsia"/>
          <w:lang w:val="en-US" w:eastAsia="zh-CN"/>
        </w:rPr>
        <w:t>1094.3中的规定进行</w:t>
      </w:r>
      <w:r>
        <w:rPr>
          <w:rFonts w:hint="eastAsia"/>
          <w:lang w:eastAsia="zh-CN"/>
        </w:rPr>
        <w:t>工频耐受电压</w:t>
      </w:r>
      <w:r>
        <w:rPr>
          <w:rFonts w:hint="eastAsia"/>
          <w:lang w:val="en-US" w:eastAsia="zh-CN"/>
        </w:rPr>
        <w:t>和</w:t>
      </w:r>
      <w:r>
        <w:rPr>
          <w:rFonts w:hint="eastAsia"/>
          <w:lang w:eastAsia="zh-CN"/>
        </w:rPr>
        <w:t>雷电冲击耐受电压</w:t>
      </w:r>
      <w:r>
        <w:rPr>
          <w:rFonts w:hint="eastAsia"/>
          <w:lang w:val="en-US" w:eastAsia="zh-CN"/>
        </w:rPr>
        <w:t>试验。</w:t>
      </w:r>
    </w:p>
    <w:p w14:paraId="44B931DA">
      <w:pPr>
        <w:pStyle w:val="165"/>
        <w:bidi w:val="0"/>
        <w:rPr>
          <w:rFonts w:hint="eastAsia" w:ascii="宋体" w:hAnsi="宋体" w:eastAsia="宋体" w:cs="宋体"/>
          <w:highlight w:val="none"/>
          <w:lang w:val="en-US" w:eastAsia="zh-CN"/>
        </w:rPr>
      </w:pPr>
      <w:r>
        <w:rPr>
          <w:rFonts w:hint="eastAsia" w:hAnsi="宋体" w:cs="宋体"/>
          <w:highlight w:val="none"/>
          <w:lang w:val="en-US" w:eastAsia="zh-CN"/>
        </w:rPr>
        <w:t>变压器</w:t>
      </w:r>
      <w:r>
        <w:rPr>
          <w:rFonts w:hint="eastAsia" w:ascii="宋体" w:hAnsi="宋体" w:eastAsia="宋体" w:cs="宋体"/>
          <w:highlight w:val="none"/>
          <w:lang w:val="en-US" w:eastAsia="zh-CN"/>
        </w:rPr>
        <w:t>置于环境温度25℃±5℃、相对湿度5%～95%的试验环境中，按额定输入电压、额定负载接入电路，冷却系统按额定工况运行。在高频隔离变压器绕组、绝缘材料关键部位、薄膜电容器表面、开关器件外壳分别粘贴温度传感器，传感器精度不低于±0.5℃；</w:t>
      </w:r>
      <w:r>
        <w:rPr>
          <w:rFonts w:hint="eastAsia" w:hAnsi="宋体" w:cs="宋体"/>
          <w:highlight w:val="none"/>
          <w:lang w:val="en-US" w:eastAsia="zh-CN"/>
        </w:rPr>
        <w:t>变压器</w:t>
      </w:r>
      <w:r>
        <w:rPr>
          <w:rFonts w:hint="eastAsia" w:ascii="宋体" w:hAnsi="宋体" w:eastAsia="宋体" w:cs="宋体"/>
          <w:highlight w:val="none"/>
          <w:lang w:val="en-US" w:eastAsia="zh-CN"/>
        </w:rPr>
        <w:t>置于环境温度25℃±5℃、相对湿度5%～95%的试验环境中，启动设备进入额定运行工况，连续运行至温度稳定，期间每15分钟记录一次各测点温度数据。</w:t>
      </w:r>
    </w:p>
    <w:p w14:paraId="23712B2B">
      <w:pPr>
        <w:pStyle w:val="106"/>
        <w:bidi w:val="0"/>
        <w:ind w:left="0" w:leftChars="0" w:firstLine="0" w:firstLineChars="0"/>
        <w:rPr>
          <w:rFonts w:hint="eastAsia"/>
          <w:highlight w:val="none"/>
          <w:lang w:val="en-US" w:eastAsia="zh-CN"/>
        </w:rPr>
      </w:pPr>
      <w:bookmarkStart w:id="89" w:name="_Toc16733"/>
      <w:r>
        <w:rPr>
          <w:rFonts w:hint="eastAsia"/>
          <w:highlight w:val="none"/>
          <w:lang w:val="en-US" w:eastAsia="zh-CN"/>
        </w:rPr>
        <w:t>功能要求</w:t>
      </w:r>
      <w:bookmarkEnd w:id="89"/>
    </w:p>
    <w:p w14:paraId="05BB1CC3">
      <w:pPr>
        <w:pStyle w:val="66"/>
        <w:bidi w:val="0"/>
        <w:rPr>
          <w:rFonts w:hint="eastAsia"/>
          <w:highlight w:val="none"/>
          <w:lang w:val="en-US" w:eastAsia="zh-CN"/>
        </w:rPr>
      </w:pPr>
      <w:r>
        <w:rPr>
          <w:rFonts w:hint="eastAsia"/>
          <w:highlight w:val="none"/>
          <w:lang w:val="en-US" w:eastAsia="zh-CN"/>
        </w:rPr>
        <w:t>双向变换测试（仅适用于具备双向变换能力的设备）</w:t>
      </w:r>
    </w:p>
    <w:p w14:paraId="2A7D5597">
      <w:pPr>
        <w:pStyle w:val="165"/>
        <w:bidi w:val="0"/>
        <w:rPr>
          <w:rFonts w:hint="eastAsia"/>
          <w:highlight w:val="none"/>
          <w:lang w:val="en-US" w:eastAsia="zh-CN"/>
        </w:rPr>
      </w:pPr>
      <w:r>
        <w:rPr>
          <w:rFonts w:hint="eastAsia"/>
          <w:highlight w:val="none"/>
          <w:lang w:val="en-US" w:eastAsia="zh-CN"/>
        </w:rPr>
        <w:t>正向变换：按本文件中6.2.3的效率测试方法，测量电网向负载供电时的变换效率。</w:t>
      </w:r>
    </w:p>
    <w:p w14:paraId="2C15AE08">
      <w:pPr>
        <w:pStyle w:val="165"/>
        <w:bidi w:val="0"/>
        <w:rPr>
          <w:rFonts w:hint="eastAsia"/>
          <w:lang w:val="en-US" w:eastAsia="zh-CN"/>
        </w:rPr>
      </w:pPr>
      <w:r>
        <w:rPr>
          <w:rFonts w:hint="eastAsia"/>
          <w:lang w:val="en-US" w:eastAsia="zh-CN"/>
        </w:rPr>
        <w:t>反向变换：将直流侧接入可调直流电源，交流侧接入电网模拟器，测量能量从直流侧流向交流侧时的变换效率。</w:t>
      </w:r>
    </w:p>
    <w:p w14:paraId="689869B3">
      <w:pPr>
        <w:pStyle w:val="165"/>
        <w:bidi w:val="0"/>
        <w:rPr>
          <w:rFonts w:hint="eastAsia"/>
          <w:lang w:val="en-US" w:eastAsia="zh-CN"/>
        </w:rPr>
      </w:pPr>
      <w:r>
        <w:rPr>
          <w:rFonts w:hint="eastAsia"/>
          <w:lang w:val="en-US" w:eastAsia="zh-CN"/>
        </w:rPr>
        <w:t>记录正向和反向变换在额定负载下的效率差值，应不超过1%。</w:t>
      </w:r>
    </w:p>
    <w:p w14:paraId="14D11EFA">
      <w:pPr>
        <w:pStyle w:val="66"/>
        <w:bidi w:val="0"/>
        <w:rPr>
          <w:rFonts w:hint="eastAsia"/>
          <w:lang w:val="en-US" w:eastAsia="zh-CN"/>
        </w:rPr>
      </w:pPr>
      <w:r>
        <w:rPr>
          <w:rFonts w:hint="eastAsia"/>
          <w:lang w:val="en-US" w:eastAsia="zh-CN"/>
        </w:rPr>
        <w:t>接口兼容性测试</w:t>
      </w:r>
    </w:p>
    <w:p w14:paraId="770EE24E">
      <w:pPr>
        <w:pStyle w:val="57"/>
        <w:rPr>
          <w:rFonts w:hint="eastAsia"/>
          <w:lang w:val="en-US" w:eastAsia="zh-CN"/>
        </w:rPr>
      </w:pPr>
      <w:r>
        <w:rPr>
          <w:rFonts w:hint="eastAsia"/>
          <w:lang w:val="en-US" w:eastAsia="zh-CN"/>
        </w:rPr>
        <w:t>连接符合GB/T 20234.3和GB/T 20234.4要求的测试负载，模拟不同类型电动汽车，验证多通道同时充电能力。</w:t>
      </w:r>
    </w:p>
    <w:p w14:paraId="3B4F2F33">
      <w:pPr>
        <w:pStyle w:val="106"/>
        <w:bidi w:val="0"/>
        <w:rPr>
          <w:rFonts w:hint="eastAsia"/>
          <w:lang w:val="en-US" w:eastAsia="zh-CN"/>
        </w:rPr>
      </w:pPr>
      <w:bookmarkStart w:id="90" w:name="_Toc15118"/>
      <w:r>
        <w:rPr>
          <w:rFonts w:hint="eastAsia"/>
          <w:lang w:val="en-US" w:eastAsia="zh-CN"/>
        </w:rPr>
        <w:t>保护功能</w:t>
      </w:r>
      <w:bookmarkEnd w:id="90"/>
    </w:p>
    <w:p w14:paraId="663E57FF">
      <w:pPr>
        <w:pStyle w:val="166"/>
        <w:bidi w:val="0"/>
        <w:rPr>
          <w:rFonts w:hint="eastAsia"/>
          <w:lang w:val="en-US" w:eastAsia="zh-CN"/>
        </w:rPr>
      </w:pPr>
      <w:r>
        <w:rPr>
          <w:rFonts w:hint="eastAsia"/>
          <w:lang w:val="en-US" w:eastAsia="zh-CN"/>
        </w:rPr>
        <w:t>过压保护：逐步提高输入电压至保护阈值，验证保护动作的准确性和响应时间。</w:t>
      </w:r>
    </w:p>
    <w:p w14:paraId="506D7F72">
      <w:pPr>
        <w:pStyle w:val="166"/>
        <w:bidi w:val="0"/>
        <w:rPr>
          <w:rFonts w:hint="eastAsia"/>
          <w:lang w:val="en-US" w:eastAsia="zh-CN"/>
        </w:rPr>
      </w:pPr>
      <w:r>
        <w:rPr>
          <w:rFonts w:hint="eastAsia"/>
          <w:lang w:val="en-US" w:eastAsia="zh-CN"/>
        </w:rPr>
        <w:t>过流保护：在输出侧接入可调负载，逐步增加电流至保护阈值，记录保护动作时间。</w:t>
      </w:r>
    </w:p>
    <w:p w14:paraId="64218353">
      <w:pPr>
        <w:pStyle w:val="166"/>
        <w:bidi w:val="0"/>
        <w:rPr>
          <w:rFonts w:hint="eastAsia"/>
          <w:lang w:val="en-US" w:eastAsia="zh-CN"/>
        </w:rPr>
      </w:pPr>
      <w:r>
        <w:rPr>
          <w:rFonts w:hint="eastAsia"/>
          <w:lang w:val="en-US" w:eastAsia="zh-CN"/>
        </w:rPr>
        <w:t>过温保护：通过环境试验箱升高环境温度至保护阈值，验证保护功能。</w:t>
      </w:r>
    </w:p>
    <w:p w14:paraId="0E54F92C">
      <w:pPr>
        <w:pStyle w:val="166"/>
        <w:bidi w:val="0"/>
        <w:rPr>
          <w:rFonts w:hint="eastAsia"/>
          <w:lang w:val="en-US" w:eastAsia="zh-CN"/>
        </w:rPr>
      </w:pPr>
      <w:r>
        <w:rPr>
          <w:rFonts w:hint="eastAsia"/>
          <w:lang w:val="en-US" w:eastAsia="zh-CN"/>
        </w:rPr>
        <w:t>短路保护：在输出侧模拟金属性短路，记录保护动作时间。</w:t>
      </w:r>
    </w:p>
    <w:p w14:paraId="576792B2">
      <w:pPr>
        <w:pStyle w:val="166"/>
        <w:bidi w:val="0"/>
        <w:rPr>
          <w:rFonts w:hint="eastAsia"/>
          <w:highlight w:val="none"/>
          <w:lang w:val="en-US" w:eastAsia="zh-CN"/>
        </w:rPr>
      </w:pPr>
      <w:r>
        <w:rPr>
          <w:rFonts w:hint="eastAsia"/>
          <w:highlight w:val="none"/>
          <w:lang w:val="en-US" w:eastAsia="zh-CN"/>
        </w:rPr>
        <w:t>通信故障保护：切断设备与EMS、BMS的通信连接，或模拟通信数据异常，验证保护功能。</w:t>
      </w:r>
    </w:p>
    <w:p w14:paraId="490801AF">
      <w:pPr>
        <w:pStyle w:val="166"/>
        <w:bidi w:val="0"/>
        <w:rPr>
          <w:rFonts w:hint="eastAsia"/>
          <w:lang w:val="en-US" w:eastAsia="zh-CN"/>
        </w:rPr>
      </w:pPr>
      <w:r>
        <w:rPr>
          <w:rFonts w:hint="eastAsia"/>
          <w:lang w:val="en-US" w:eastAsia="zh-CN"/>
        </w:rPr>
        <w:t>每次保护动作后，设备应能正确报警并记录故障代码。</w:t>
      </w:r>
    </w:p>
    <w:p w14:paraId="3E013FAB">
      <w:pPr>
        <w:pStyle w:val="106"/>
        <w:bidi w:val="0"/>
        <w:rPr>
          <w:rFonts w:hint="eastAsia"/>
          <w:lang w:val="en-US" w:eastAsia="zh-CN"/>
        </w:rPr>
      </w:pPr>
      <w:bookmarkStart w:id="91" w:name="_Toc32154"/>
      <w:r>
        <w:rPr>
          <w:rFonts w:hint="eastAsia"/>
          <w:lang w:val="en-US" w:eastAsia="zh-CN"/>
        </w:rPr>
        <w:t>电磁兼容性</w:t>
      </w:r>
      <w:bookmarkEnd w:id="91"/>
      <w:r>
        <w:rPr>
          <w:rFonts w:hint="eastAsia"/>
          <w:lang w:val="en-US" w:eastAsia="zh-CN"/>
        </w:rPr>
        <w:t>试验</w:t>
      </w:r>
    </w:p>
    <w:p w14:paraId="16FE2C85">
      <w:pPr>
        <w:pStyle w:val="66"/>
        <w:spacing w:before="120" w:after="120"/>
        <w:rPr>
          <w:rFonts w:hint="eastAsia"/>
          <w:lang w:val="en-US" w:eastAsia="zh-CN"/>
        </w:rPr>
      </w:pPr>
      <w:bookmarkStart w:id="92" w:name="_Toc7306"/>
      <w:r>
        <w:rPr>
          <w:rFonts w:hint="eastAsia"/>
          <w:lang w:val="en-US" w:eastAsia="zh-CN"/>
        </w:rPr>
        <w:t>静电放电抗扰度试验</w:t>
      </w:r>
    </w:p>
    <w:p w14:paraId="6EE30474">
      <w:pPr>
        <w:pStyle w:val="57"/>
        <w:rPr>
          <w:rFonts w:hint="eastAsia"/>
          <w:lang w:val="en-US" w:eastAsia="zh-CN"/>
        </w:rPr>
      </w:pPr>
      <w:r>
        <w:rPr>
          <w:rFonts w:hint="eastAsia"/>
          <w:lang w:val="en-US" w:eastAsia="zh-CN"/>
        </w:rPr>
        <w:t>控保装置的人机界面、控制按键应能承受GB/T 14598.26中规定的静电放电抗扰度试验。</w:t>
      </w:r>
    </w:p>
    <w:p w14:paraId="4B2D590B">
      <w:pPr>
        <w:pStyle w:val="66"/>
        <w:spacing w:before="120" w:after="120"/>
        <w:rPr>
          <w:rFonts w:hint="eastAsia"/>
          <w:lang w:val="en-US" w:eastAsia="zh-CN"/>
        </w:rPr>
      </w:pPr>
      <w:r>
        <w:rPr>
          <w:rFonts w:hint="eastAsia"/>
          <w:lang w:val="en-US" w:eastAsia="zh-CN"/>
        </w:rPr>
        <w:t>射频电磁场辐射抗扰度试验</w:t>
      </w:r>
    </w:p>
    <w:p w14:paraId="25A13C8C">
      <w:pPr>
        <w:pStyle w:val="57"/>
        <w:rPr>
          <w:rFonts w:hint="eastAsia"/>
          <w:lang w:val="en-US" w:eastAsia="zh-CN"/>
        </w:rPr>
      </w:pPr>
      <w:r>
        <w:rPr>
          <w:rFonts w:hint="eastAsia"/>
          <w:lang w:val="en-US" w:eastAsia="zh-CN"/>
        </w:rPr>
        <w:t>控保装置应能承受GB/T 14598.26中规定的射频电磁场辐射抗扰度试验。</w:t>
      </w:r>
    </w:p>
    <w:p w14:paraId="65A826B6">
      <w:pPr>
        <w:pStyle w:val="66"/>
        <w:spacing w:before="120" w:after="120"/>
        <w:rPr>
          <w:rFonts w:hint="eastAsia"/>
          <w:lang w:val="en-US" w:eastAsia="zh-CN"/>
        </w:rPr>
      </w:pPr>
      <w:r>
        <w:rPr>
          <w:rFonts w:hint="eastAsia"/>
          <w:lang w:val="en-US" w:eastAsia="zh-CN"/>
        </w:rPr>
        <w:t>电快速瞬变脉冲群抗扰度试验</w:t>
      </w:r>
    </w:p>
    <w:p w14:paraId="64976890">
      <w:pPr>
        <w:pStyle w:val="57"/>
        <w:rPr>
          <w:rFonts w:hint="eastAsia"/>
          <w:lang w:val="en-US" w:eastAsia="zh-CN"/>
        </w:rPr>
      </w:pPr>
      <w:r>
        <w:rPr>
          <w:rFonts w:hint="eastAsia"/>
          <w:lang w:val="en-US" w:eastAsia="zh-CN"/>
        </w:rPr>
        <w:t>控保装置应能承受GB/T 14598.26中规定的电快速瞬变脉冲群抗扰度试验。</w:t>
      </w:r>
    </w:p>
    <w:p w14:paraId="698D6FDE">
      <w:pPr>
        <w:pStyle w:val="66"/>
        <w:spacing w:before="120" w:after="120"/>
        <w:rPr>
          <w:rFonts w:hint="eastAsia"/>
          <w:lang w:val="en-US" w:eastAsia="zh-CN"/>
        </w:rPr>
      </w:pPr>
      <w:r>
        <w:rPr>
          <w:rFonts w:hint="eastAsia"/>
          <w:lang w:val="en-US" w:eastAsia="zh-CN"/>
        </w:rPr>
        <w:t>浪涌抗扰度试验</w:t>
      </w:r>
    </w:p>
    <w:p w14:paraId="26836318">
      <w:pPr>
        <w:pStyle w:val="57"/>
        <w:rPr>
          <w:rFonts w:hint="eastAsia"/>
          <w:lang w:val="en-US" w:eastAsia="zh-CN"/>
        </w:rPr>
      </w:pPr>
      <w:r>
        <w:rPr>
          <w:rFonts w:hint="eastAsia"/>
          <w:lang w:val="en-US" w:eastAsia="zh-CN"/>
        </w:rPr>
        <w:t>控保装置应能承受GB/T 14598.26中规定的浪涌抗扰度试验。</w:t>
      </w:r>
    </w:p>
    <w:p w14:paraId="5521015B">
      <w:pPr>
        <w:pStyle w:val="66"/>
        <w:spacing w:before="120" w:after="120"/>
        <w:rPr>
          <w:rFonts w:hint="eastAsia"/>
          <w:lang w:val="en-US" w:eastAsia="zh-CN"/>
        </w:rPr>
      </w:pPr>
      <w:r>
        <w:rPr>
          <w:rFonts w:hint="eastAsia"/>
          <w:lang w:val="en-US" w:eastAsia="zh-CN"/>
        </w:rPr>
        <w:t>射频场感应的传导骚扰抗扰度试验</w:t>
      </w:r>
    </w:p>
    <w:p w14:paraId="55D8B857">
      <w:pPr>
        <w:pStyle w:val="57"/>
        <w:rPr>
          <w:rFonts w:hint="eastAsia"/>
          <w:lang w:val="en-US" w:eastAsia="zh-CN"/>
        </w:rPr>
      </w:pPr>
      <w:r>
        <w:rPr>
          <w:rFonts w:hint="eastAsia"/>
          <w:lang w:val="en-US" w:eastAsia="zh-CN"/>
        </w:rPr>
        <w:t>控保装置应能承受GB/T14598.26中规定的射频场感应的传导骚扰抗扰度试验。</w:t>
      </w:r>
    </w:p>
    <w:p w14:paraId="598011BF">
      <w:pPr>
        <w:pStyle w:val="66"/>
        <w:spacing w:before="120" w:after="120"/>
        <w:rPr>
          <w:rFonts w:hint="eastAsia"/>
          <w:lang w:val="en-US" w:eastAsia="zh-CN"/>
        </w:rPr>
      </w:pPr>
      <w:r>
        <w:rPr>
          <w:rFonts w:hint="eastAsia"/>
          <w:lang w:val="en-US" w:eastAsia="zh-CN"/>
        </w:rPr>
        <w:t>工频磁场抗扰度试验</w:t>
      </w:r>
    </w:p>
    <w:p w14:paraId="4147A721">
      <w:pPr>
        <w:pStyle w:val="57"/>
        <w:rPr>
          <w:rFonts w:hint="eastAsia"/>
          <w:lang w:val="en-US" w:eastAsia="zh-CN"/>
        </w:rPr>
      </w:pPr>
      <w:r>
        <w:rPr>
          <w:rFonts w:hint="eastAsia"/>
          <w:lang w:val="en-US" w:eastAsia="zh-CN"/>
        </w:rPr>
        <w:t>控保装置应能承受GB/T 14598.26中规定的工频磁场抗扰度试验。</w:t>
      </w:r>
    </w:p>
    <w:p w14:paraId="5CEC972A">
      <w:pPr>
        <w:pStyle w:val="66"/>
        <w:spacing w:before="120" w:after="120"/>
        <w:rPr>
          <w:rFonts w:hint="eastAsia"/>
          <w:lang w:val="en-US" w:eastAsia="zh-CN"/>
        </w:rPr>
      </w:pPr>
      <w:r>
        <w:rPr>
          <w:rFonts w:hint="eastAsia"/>
          <w:lang w:val="en-US" w:eastAsia="zh-CN"/>
        </w:rPr>
        <w:t>辐射发射骚扰试验</w:t>
      </w:r>
    </w:p>
    <w:p w14:paraId="603E308C">
      <w:pPr>
        <w:pStyle w:val="57"/>
        <w:rPr>
          <w:rFonts w:hint="eastAsia"/>
          <w:lang w:val="en-US" w:eastAsia="zh-CN"/>
        </w:rPr>
      </w:pPr>
      <w:r>
        <w:rPr>
          <w:rFonts w:hint="eastAsia"/>
          <w:lang w:val="en-US" w:eastAsia="zh-CN"/>
        </w:rPr>
        <w:t>控保装置应能满足GB/T 14598.26中规定的辐射发射骚扰要求。</w:t>
      </w:r>
    </w:p>
    <w:p w14:paraId="3471E7F7">
      <w:pPr>
        <w:pStyle w:val="66"/>
        <w:spacing w:before="120" w:after="120"/>
        <w:rPr>
          <w:rFonts w:hint="eastAsia"/>
          <w:lang w:val="en-US" w:eastAsia="zh-CN"/>
        </w:rPr>
      </w:pPr>
      <w:r>
        <w:rPr>
          <w:rFonts w:hint="eastAsia"/>
          <w:lang w:val="en-US" w:eastAsia="zh-CN"/>
        </w:rPr>
        <w:t>传导骚扰试验</w:t>
      </w:r>
    </w:p>
    <w:p w14:paraId="0485E413">
      <w:pPr>
        <w:pStyle w:val="57"/>
        <w:rPr>
          <w:rFonts w:hint="eastAsia"/>
          <w:lang w:val="en-US" w:eastAsia="zh-CN"/>
        </w:rPr>
      </w:pPr>
      <w:r>
        <w:rPr>
          <w:rFonts w:hint="eastAsia"/>
          <w:lang w:val="en-US" w:eastAsia="zh-CN"/>
        </w:rPr>
        <w:t>控保装置应能满足GB/T 14598.26中规定的传导骚扰要求。</w:t>
      </w:r>
    </w:p>
    <w:p w14:paraId="02668470">
      <w:pPr>
        <w:pStyle w:val="105"/>
        <w:bidi w:val="0"/>
        <w:ind w:left="0" w:leftChars="0" w:firstLine="0" w:firstLineChars="0"/>
        <w:rPr>
          <w:rFonts w:hint="eastAsia"/>
          <w:lang w:val="en-US" w:eastAsia="zh-CN"/>
        </w:rPr>
      </w:pPr>
      <w:r>
        <w:rPr>
          <w:rFonts w:hint="eastAsia"/>
          <w:lang w:val="en-US" w:eastAsia="zh-CN"/>
        </w:rPr>
        <w:t>检验规则</w:t>
      </w:r>
      <w:bookmarkEnd w:id="92"/>
    </w:p>
    <w:p w14:paraId="238DDB02">
      <w:pPr>
        <w:pStyle w:val="106"/>
        <w:bidi w:val="0"/>
        <w:rPr>
          <w:rFonts w:hint="eastAsia"/>
          <w:lang w:val="en-US" w:eastAsia="zh-CN"/>
        </w:rPr>
      </w:pPr>
      <w:bookmarkStart w:id="93" w:name="_Toc27568"/>
      <w:r>
        <w:rPr>
          <w:rFonts w:hint="eastAsia"/>
          <w:lang w:val="en-US" w:eastAsia="zh-CN"/>
        </w:rPr>
        <w:t>检验分类</w:t>
      </w:r>
      <w:bookmarkEnd w:id="93"/>
    </w:p>
    <w:p w14:paraId="4772F9C0">
      <w:pPr>
        <w:pStyle w:val="57"/>
        <w:rPr>
          <w:rFonts w:hint="eastAsia"/>
          <w:lang w:val="en-US" w:eastAsia="zh-CN"/>
        </w:rPr>
      </w:pPr>
      <w:r>
        <w:rPr>
          <w:rFonts w:hint="eastAsia"/>
          <w:lang w:val="en-US" w:eastAsia="zh-CN"/>
        </w:rPr>
        <w:t>检验分为出厂检验和型式检验。</w:t>
      </w:r>
    </w:p>
    <w:p w14:paraId="2282E321">
      <w:pPr>
        <w:pStyle w:val="106"/>
        <w:bidi w:val="0"/>
        <w:rPr>
          <w:rFonts w:hint="default"/>
          <w:lang w:val="en-US" w:eastAsia="zh-CN"/>
        </w:rPr>
      </w:pPr>
      <w:bookmarkStart w:id="94" w:name="_Toc6994"/>
      <w:r>
        <w:rPr>
          <w:rFonts w:hint="eastAsia"/>
          <w:lang w:val="en-US" w:eastAsia="zh-CN"/>
        </w:rPr>
        <w:t>出厂检验</w:t>
      </w:r>
      <w:bookmarkEnd w:id="94"/>
    </w:p>
    <w:p w14:paraId="41D3D1C6">
      <w:pPr>
        <w:pStyle w:val="57"/>
        <w:rPr>
          <w:rFonts w:hint="eastAsia"/>
          <w:lang w:val="en-US" w:eastAsia="zh-CN"/>
        </w:rPr>
      </w:pPr>
      <w:r>
        <w:rPr>
          <w:rFonts w:hint="eastAsia"/>
          <w:lang w:val="en-US" w:eastAsia="zh-CN"/>
        </w:rPr>
        <w:t>每台变压器出厂前均应进行出厂检验，出厂检验全部合格后方可出具合格证书，准予出厂。</w:t>
      </w:r>
    </w:p>
    <w:p w14:paraId="063D4270">
      <w:pPr>
        <w:pStyle w:val="106"/>
        <w:bidi w:val="0"/>
        <w:rPr>
          <w:rFonts w:hint="default"/>
          <w:lang w:val="en-US" w:eastAsia="zh-CN"/>
        </w:rPr>
      </w:pPr>
      <w:bookmarkStart w:id="95" w:name="_Toc4698"/>
      <w:r>
        <w:rPr>
          <w:rFonts w:hint="eastAsia"/>
          <w:lang w:val="en-US" w:eastAsia="zh-CN"/>
        </w:rPr>
        <w:t>型式检验</w:t>
      </w:r>
      <w:bookmarkEnd w:id="95"/>
    </w:p>
    <w:p w14:paraId="297C2078">
      <w:pPr>
        <w:pStyle w:val="57"/>
        <w:rPr>
          <w:rFonts w:hint="default"/>
          <w:lang w:val="en-US" w:eastAsia="zh-CN"/>
        </w:rPr>
      </w:pPr>
      <w:r>
        <w:rPr>
          <w:rFonts w:hint="default"/>
          <w:lang w:val="en-US" w:eastAsia="zh-CN"/>
        </w:rPr>
        <w:t>当有下列情况之一时，应进行型式试验：</w:t>
      </w:r>
    </w:p>
    <w:p w14:paraId="6D89D9B1">
      <w:pPr>
        <w:pStyle w:val="175"/>
        <w:numPr>
          <w:ilvl w:val="0"/>
          <w:numId w:val="36"/>
        </w:numPr>
        <w:bidi w:val="0"/>
        <w:rPr>
          <w:rFonts w:hint="default"/>
          <w:lang w:val="en-US" w:eastAsia="zh-CN"/>
        </w:rPr>
      </w:pPr>
      <w:r>
        <w:rPr>
          <w:rFonts w:hint="default"/>
          <w:lang w:val="en-US" w:eastAsia="zh-CN"/>
        </w:rPr>
        <w:t>新产品或老产品转厂的定型鉴定试验；</w:t>
      </w:r>
    </w:p>
    <w:p w14:paraId="68CEA0ED">
      <w:pPr>
        <w:pStyle w:val="175"/>
        <w:numPr>
          <w:ilvl w:val="0"/>
          <w:numId w:val="36"/>
        </w:numPr>
        <w:bidi w:val="0"/>
        <w:rPr>
          <w:rFonts w:hint="default"/>
          <w:lang w:val="en-US" w:eastAsia="zh-CN"/>
        </w:rPr>
      </w:pPr>
      <w:r>
        <w:rPr>
          <w:rFonts w:hint="default"/>
          <w:lang w:val="en-US" w:eastAsia="zh-CN"/>
        </w:rPr>
        <w:t>当产品的设计、工艺或所用材料的改变会影响产品性能时；</w:t>
      </w:r>
    </w:p>
    <w:p w14:paraId="0AEA91C3">
      <w:pPr>
        <w:pStyle w:val="175"/>
        <w:numPr>
          <w:ilvl w:val="0"/>
          <w:numId w:val="36"/>
        </w:numPr>
        <w:bidi w:val="0"/>
        <w:rPr>
          <w:rFonts w:hint="default"/>
          <w:lang w:val="en-US" w:eastAsia="zh-CN"/>
        </w:rPr>
      </w:pPr>
      <w:r>
        <w:rPr>
          <w:rFonts w:hint="default"/>
          <w:lang w:val="en-US" w:eastAsia="zh-CN"/>
        </w:rPr>
        <w:t>产品停产</w:t>
      </w:r>
      <w:r>
        <w:rPr>
          <w:rFonts w:hint="eastAsia"/>
          <w:lang w:val="en-US" w:eastAsia="zh-CN"/>
        </w:rPr>
        <w:t>超过一年</w:t>
      </w:r>
      <w:r>
        <w:rPr>
          <w:rFonts w:hint="default"/>
          <w:lang w:val="en-US" w:eastAsia="zh-CN"/>
        </w:rPr>
        <w:t>后恢复生产时；</w:t>
      </w:r>
    </w:p>
    <w:p w14:paraId="1505FDD8">
      <w:pPr>
        <w:pStyle w:val="175"/>
        <w:numPr>
          <w:ilvl w:val="0"/>
          <w:numId w:val="36"/>
        </w:numPr>
        <w:bidi w:val="0"/>
        <w:rPr>
          <w:rFonts w:hint="default"/>
          <w:lang w:val="en-US" w:eastAsia="zh-CN"/>
        </w:rPr>
      </w:pPr>
      <w:r>
        <w:rPr>
          <w:rFonts w:hint="default"/>
          <w:lang w:val="en-US" w:eastAsia="zh-CN"/>
        </w:rPr>
        <w:t>出厂试验结果与上次型式试验有较大差异时；</w:t>
      </w:r>
    </w:p>
    <w:p w14:paraId="26FCEF6F">
      <w:pPr>
        <w:pStyle w:val="175"/>
        <w:numPr>
          <w:ilvl w:val="0"/>
          <w:numId w:val="36"/>
        </w:numPr>
        <w:bidi w:val="0"/>
        <w:rPr>
          <w:rFonts w:hint="default"/>
          <w:lang w:val="en-US" w:eastAsia="zh-CN"/>
        </w:rPr>
      </w:pPr>
      <w:r>
        <w:rPr>
          <w:rFonts w:hint="default"/>
          <w:lang w:val="en-US" w:eastAsia="zh-CN"/>
        </w:rPr>
        <w:t>国家质量监督机构提出型式检验要求时</w:t>
      </w:r>
      <w:r>
        <w:rPr>
          <w:rFonts w:hint="eastAsia"/>
          <w:lang w:val="en-US" w:eastAsia="zh-CN"/>
        </w:rPr>
        <w:t>；</w:t>
      </w:r>
    </w:p>
    <w:p w14:paraId="63082589">
      <w:pPr>
        <w:pStyle w:val="175"/>
        <w:numPr>
          <w:ilvl w:val="0"/>
          <w:numId w:val="36"/>
        </w:numPr>
        <w:bidi w:val="0"/>
        <w:rPr>
          <w:rFonts w:hint="default"/>
          <w:lang w:val="en-US" w:eastAsia="zh-CN"/>
        </w:rPr>
      </w:pPr>
      <w:r>
        <w:rPr>
          <w:rFonts w:hint="default"/>
          <w:lang w:val="en-US" w:eastAsia="zh-CN"/>
        </w:rPr>
        <w:t>用户提出特殊要求，经制造商同意时。</w:t>
      </w:r>
    </w:p>
    <w:p w14:paraId="6078DC35">
      <w:pPr>
        <w:pStyle w:val="106"/>
        <w:bidi w:val="0"/>
        <w:rPr>
          <w:rFonts w:hint="default"/>
          <w:lang w:val="en-US" w:eastAsia="zh-CN"/>
        </w:rPr>
      </w:pPr>
      <w:bookmarkStart w:id="96" w:name="_Toc17381"/>
      <w:r>
        <w:rPr>
          <w:rFonts w:hint="eastAsia"/>
          <w:lang w:val="en-US" w:eastAsia="zh-CN"/>
        </w:rPr>
        <w:t>检验项目</w:t>
      </w:r>
      <w:bookmarkEnd w:id="96"/>
    </w:p>
    <w:p w14:paraId="24735146">
      <w:pPr>
        <w:pStyle w:val="57"/>
        <w:rPr>
          <w:rFonts w:hint="eastAsia"/>
          <w:lang w:val="en-US" w:eastAsia="zh-CN"/>
        </w:rPr>
      </w:pPr>
      <w:r>
        <w:rPr>
          <w:rFonts w:hint="eastAsia"/>
          <w:lang w:val="en-US" w:eastAsia="zh-CN"/>
        </w:rPr>
        <w:t>出厂检验和型式检验的检验项目见表3。</w:t>
      </w:r>
    </w:p>
    <w:p w14:paraId="7C7D436C">
      <w:pPr>
        <w:pStyle w:val="113"/>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检验项目</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2100"/>
        <w:gridCol w:w="2100"/>
        <w:gridCol w:w="2101"/>
      </w:tblGrid>
      <w:tr w14:paraId="54B8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10929C24">
            <w:pPr>
              <w:pStyle w:val="179"/>
              <w:bidi w:val="0"/>
              <w:rPr>
                <w:rFonts w:hint="default"/>
                <w:lang w:val="en-US" w:eastAsia="zh-CN"/>
              </w:rPr>
            </w:pPr>
            <w:r>
              <w:rPr>
                <w:rFonts w:hint="eastAsia"/>
                <w:lang w:val="en-US" w:eastAsia="zh-CN"/>
              </w:rPr>
              <w:t>检验项目</w:t>
            </w:r>
          </w:p>
        </w:tc>
        <w:tc>
          <w:tcPr>
            <w:tcW w:w="1098" w:type="pct"/>
          </w:tcPr>
          <w:p w14:paraId="74088135">
            <w:pPr>
              <w:pStyle w:val="179"/>
              <w:bidi w:val="0"/>
              <w:rPr>
                <w:rFonts w:hint="default"/>
                <w:lang w:val="en-US" w:eastAsia="zh-CN"/>
              </w:rPr>
            </w:pPr>
            <w:r>
              <w:rPr>
                <w:rFonts w:hint="eastAsia"/>
                <w:lang w:val="en-US" w:eastAsia="zh-CN"/>
              </w:rPr>
              <w:t>对应章条号</w:t>
            </w:r>
          </w:p>
        </w:tc>
        <w:tc>
          <w:tcPr>
            <w:tcW w:w="1098" w:type="pct"/>
          </w:tcPr>
          <w:p w14:paraId="49C66887">
            <w:pPr>
              <w:pStyle w:val="179"/>
              <w:bidi w:val="0"/>
              <w:rPr>
                <w:rFonts w:hint="default"/>
                <w:lang w:val="en-US" w:eastAsia="zh-CN"/>
              </w:rPr>
            </w:pPr>
            <w:r>
              <w:rPr>
                <w:rFonts w:hint="eastAsia"/>
                <w:lang w:val="en-US" w:eastAsia="zh-CN"/>
              </w:rPr>
              <w:t>出厂检验</w:t>
            </w:r>
          </w:p>
        </w:tc>
        <w:tc>
          <w:tcPr>
            <w:tcW w:w="1098" w:type="pct"/>
          </w:tcPr>
          <w:p w14:paraId="5727D6BE">
            <w:pPr>
              <w:pStyle w:val="179"/>
              <w:bidi w:val="0"/>
              <w:rPr>
                <w:rFonts w:hint="default"/>
                <w:lang w:val="en-US" w:eastAsia="zh-CN"/>
              </w:rPr>
            </w:pPr>
            <w:r>
              <w:rPr>
                <w:rFonts w:hint="eastAsia"/>
                <w:lang w:val="en-US" w:eastAsia="zh-CN"/>
              </w:rPr>
              <w:t>型式检验</w:t>
            </w:r>
          </w:p>
        </w:tc>
      </w:tr>
      <w:tr w14:paraId="365C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614FDE73">
            <w:pPr>
              <w:pStyle w:val="179"/>
              <w:bidi w:val="0"/>
              <w:rPr>
                <w:rFonts w:hint="default"/>
                <w:lang w:val="en-US" w:eastAsia="zh-CN"/>
              </w:rPr>
            </w:pPr>
            <w:r>
              <w:rPr>
                <w:rFonts w:hint="eastAsia"/>
                <w:lang w:val="en-US" w:eastAsia="zh-CN"/>
              </w:rPr>
              <w:t>外观质量检查</w:t>
            </w:r>
          </w:p>
        </w:tc>
        <w:tc>
          <w:tcPr>
            <w:tcW w:w="1098" w:type="pct"/>
          </w:tcPr>
          <w:p w14:paraId="21B1479D">
            <w:pPr>
              <w:pStyle w:val="179"/>
              <w:bidi w:val="0"/>
              <w:rPr>
                <w:rFonts w:hint="default"/>
                <w:lang w:val="en-US" w:eastAsia="zh-CN"/>
              </w:rPr>
            </w:pPr>
            <w:r>
              <w:rPr>
                <w:rFonts w:hint="eastAsia"/>
                <w:lang w:val="en-US" w:eastAsia="zh-CN"/>
              </w:rPr>
              <w:t>6.1.1</w:t>
            </w:r>
          </w:p>
        </w:tc>
        <w:tc>
          <w:tcPr>
            <w:tcW w:w="1098" w:type="pct"/>
          </w:tcPr>
          <w:p w14:paraId="2C8F01DC">
            <w:pPr>
              <w:pStyle w:val="179"/>
              <w:bidi w:val="0"/>
              <w:rPr>
                <w:rFonts w:hint="eastAsia"/>
                <w:lang w:val="en-US" w:eastAsia="zh-CN"/>
              </w:rPr>
            </w:pPr>
            <w:r>
              <w:t>√</w:t>
            </w:r>
          </w:p>
        </w:tc>
        <w:tc>
          <w:tcPr>
            <w:tcW w:w="1098" w:type="pct"/>
            <w:shd w:val="clear" w:color="auto" w:fill="auto"/>
            <w:vAlign w:val="top"/>
          </w:tcPr>
          <w:p w14:paraId="546BE7FD">
            <w:pPr>
              <w:pStyle w:val="179"/>
              <w:bidi w:val="0"/>
              <w:ind w:firstLine="0" w:firstLineChars="0"/>
              <w:rPr>
                <w:rFonts w:hint="eastAsia" w:ascii="宋体" w:hAnsi="Times New Roman" w:eastAsia="宋体" w:cs="Times New Roman"/>
                <w:sz w:val="18"/>
                <w:lang w:val="en-US" w:eastAsia="zh-CN" w:bidi="ar-SA"/>
              </w:rPr>
            </w:pPr>
            <w:r>
              <w:t>√</w:t>
            </w:r>
          </w:p>
        </w:tc>
      </w:tr>
      <w:tr w14:paraId="195C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498402CB">
            <w:pPr>
              <w:pStyle w:val="179"/>
              <w:bidi w:val="0"/>
              <w:rPr>
                <w:rFonts w:hint="default"/>
                <w:lang w:val="en-US" w:eastAsia="zh-CN"/>
              </w:rPr>
            </w:pPr>
            <w:r>
              <w:rPr>
                <w:rFonts w:hint="eastAsia"/>
                <w:lang w:val="en-US" w:eastAsia="zh-CN"/>
              </w:rPr>
              <w:t>结构检查</w:t>
            </w:r>
          </w:p>
        </w:tc>
        <w:tc>
          <w:tcPr>
            <w:tcW w:w="1098" w:type="pct"/>
          </w:tcPr>
          <w:p w14:paraId="061D6D8C">
            <w:pPr>
              <w:pStyle w:val="179"/>
              <w:bidi w:val="0"/>
              <w:rPr>
                <w:rFonts w:hint="default"/>
                <w:lang w:val="en-US" w:eastAsia="zh-CN"/>
              </w:rPr>
            </w:pPr>
            <w:r>
              <w:rPr>
                <w:rFonts w:hint="eastAsia"/>
                <w:lang w:val="en-US" w:eastAsia="zh-CN"/>
              </w:rPr>
              <w:t>6.1.2.1</w:t>
            </w:r>
          </w:p>
        </w:tc>
        <w:tc>
          <w:tcPr>
            <w:tcW w:w="1098" w:type="pct"/>
          </w:tcPr>
          <w:p w14:paraId="7D91A118">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2BCED3BA">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7083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shd w:val="clear" w:color="auto" w:fill="auto"/>
          </w:tcPr>
          <w:p w14:paraId="55DD8AFD">
            <w:pPr>
              <w:pStyle w:val="179"/>
              <w:bidi w:val="0"/>
              <w:rPr>
                <w:rFonts w:hint="default"/>
                <w:lang w:val="en-US" w:eastAsia="zh-CN"/>
              </w:rPr>
            </w:pPr>
            <w:r>
              <w:rPr>
                <w:rFonts w:hint="eastAsia"/>
                <w:lang w:val="en-US" w:eastAsia="zh-CN"/>
              </w:rPr>
              <w:t>防带电误开门联锁装置测试</w:t>
            </w:r>
          </w:p>
        </w:tc>
        <w:tc>
          <w:tcPr>
            <w:tcW w:w="1098" w:type="pct"/>
            <w:shd w:val="clear" w:color="auto" w:fill="auto"/>
          </w:tcPr>
          <w:p w14:paraId="5452664F">
            <w:pPr>
              <w:pStyle w:val="179"/>
              <w:bidi w:val="0"/>
              <w:rPr>
                <w:rFonts w:hint="default"/>
                <w:lang w:val="en-US" w:eastAsia="zh-CN"/>
              </w:rPr>
            </w:pPr>
            <w:r>
              <w:rPr>
                <w:rFonts w:hint="eastAsia"/>
                <w:lang w:val="en-US" w:eastAsia="zh-CN"/>
              </w:rPr>
              <w:t>6.1.2.2、6.1.2.3</w:t>
            </w:r>
          </w:p>
        </w:tc>
        <w:tc>
          <w:tcPr>
            <w:tcW w:w="1098" w:type="pct"/>
            <w:shd w:val="clear" w:color="auto" w:fill="auto"/>
          </w:tcPr>
          <w:p w14:paraId="67A3BD04">
            <w:pPr>
              <w:pStyle w:val="179"/>
              <w:bidi w:val="0"/>
              <w:rPr>
                <w:rFonts w:hint="default" w:ascii="宋体" w:hAnsi="Times New Roman" w:eastAsia="宋体" w:cs="Times New Roman"/>
                <w:lang w:val="en-US" w:eastAsia="zh-CN"/>
              </w:rPr>
            </w:pPr>
            <w:r>
              <w:rPr>
                <w:rFonts w:hint="eastAsia" w:cs="Times New Roman"/>
                <w:lang w:val="en-US" w:eastAsia="zh-CN"/>
              </w:rPr>
              <w:t>√</w:t>
            </w:r>
          </w:p>
        </w:tc>
        <w:tc>
          <w:tcPr>
            <w:tcW w:w="1098" w:type="pct"/>
            <w:shd w:val="clear" w:color="auto" w:fill="auto"/>
            <w:vAlign w:val="top"/>
          </w:tcPr>
          <w:p w14:paraId="35996577">
            <w:pPr>
              <w:pStyle w:val="179"/>
              <w:bidi w:val="0"/>
              <w:ind w:firstLine="0" w:firstLineChars="0"/>
              <w:rPr>
                <w:rFonts w:hint="default" w:ascii="宋体" w:hAnsi="Times New Roman" w:eastAsia="宋体" w:cs="Times New Roman"/>
                <w:lang w:val="en-US" w:eastAsia="zh-CN"/>
              </w:rPr>
            </w:pPr>
            <w:r>
              <w:rPr>
                <w:rFonts w:hint="eastAsia" w:cs="Times New Roman"/>
                <w:lang w:val="en-US" w:eastAsia="zh-CN"/>
              </w:rPr>
              <w:t>√</w:t>
            </w:r>
          </w:p>
        </w:tc>
      </w:tr>
      <w:tr w14:paraId="49A7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216A020A">
            <w:pPr>
              <w:pStyle w:val="179"/>
              <w:bidi w:val="0"/>
              <w:rPr>
                <w:rFonts w:hint="default"/>
                <w:lang w:val="en-US" w:eastAsia="zh-CN"/>
              </w:rPr>
            </w:pPr>
            <w:r>
              <w:rPr>
                <w:rFonts w:hint="eastAsia"/>
                <w:lang w:val="en-US" w:eastAsia="zh-CN"/>
              </w:rPr>
              <w:t>防护等级</w:t>
            </w:r>
          </w:p>
        </w:tc>
        <w:tc>
          <w:tcPr>
            <w:tcW w:w="1098" w:type="pct"/>
          </w:tcPr>
          <w:p w14:paraId="0899783C">
            <w:pPr>
              <w:pStyle w:val="179"/>
              <w:bidi w:val="0"/>
              <w:rPr>
                <w:rFonts w:hint="default"/>
                <w:lang w:val="en-US" w:eastAsia="zh-CN"/>
              </w:rPr>
            </w:pPr>
            <w:r>
              <w:rPr>
                <w:rFonts w:hint="eastAsia"/>
                <w:lang w:val="en-US" w:eastAsia="zh-CN"/>
              </w:rPr>
              <w:t>6.1.3</w:t>
            </w:r>
          </w:p>
        </w:tc>
        <w:tc>
          <w:tcPr>
            <w:tcW w:w="1098" w:type="pct"/>
          </w:tcPr>
          <w:p w14:paraId="6E73027A">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5EF529E3">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5E26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2266D561">
            <w:pPr>
              <w:pStyle w:val="179"/>
              <w:bidi w:val="0"/>
              <w:rPr>
                <w:rFonts w:hint="eastAsia"/>
                <w:lang w:val="en-US" w:eastAsia="zh-CN"/>
              </w:rPr>
            </w:pPr>
            <w:r>
              <w:rPr>
                <w:rFonts w:hint="eastAsia"/>
                <w:lang w:val="en-US" w:eastAsia="zh-CN"/>
              </w:rPr>
              <w:t>主电路连接线</w:t>
            </w:r>
          </w:p>
        </w:tc>
        <w:tc>
          <w:tcPr>
            <w:tcW w:w="1098" w:type="pct"/>
            <w:shd w:val="clear" w:color="auto" w:fill="auto"/>
            <w:vAlign w:val="top"/>
          </w:tcPr>
          <w:p w14:paraId="7229635B">
            <w:pPr>
              <w:pStyle w:val="179"/>
              <w:bidi w:val="0"/>
              <w:rPr>
                <w:rFonts w:hint="default"/>
                <w:lang w:val="en-US" w:eastAsia="zh-CN"/>
              </w:rPr>
            </w:pPr>
            <w:r>
              <w:rPr>
                <w:rFonts w:hint="eastAsia"/>
                <w:lang w:val="en-US" w:eastAsia="zh-CN"/>
              </w:rPr>
              <w:t>6.1.4</w:t>
            </w:r>
          </w:p>
        </w:tc>
        <w:tc>
          <w:tcPr>
            <w:tcW w:w="1098" w:type="pct"/>
            <w:shd w:val="clear" w:color="auto" w:fill="auto"/>
            <w:vAlign w:val="top"/>
          </w:tcPr>
          <w:p w14:paraId="21B07F4C">
            <w:pPr>
              <w:pStyle w:val="179"/>
              <w:bidi w:val="0"/>
              <w:ind w:firstLine="0" w:firstLineChars="0"/>
              <w:rPr>
                <w:rFonts w:hint="eastAsia" w:ascii="宋体" w:hAnsi="Times New Roman" w:eastAsia="宋体" w:cs="Times New Roman"/>
                <w:sz w:val="18"/>
                <w:lang w:val="en-US" w:eastAsia="zh-CN" w:bidi="ar-SA"/>
              </w:rPr>
            </w:pPr>
            <w:r>
              <w:t>√</w:t>
            </w:r>
          </w:p>
        </w:tc>
        <w:tc>
          <w:tcPr>
            <w:tcW w:w="1098" w:type="pct"/>
            <w:shd w:val="clear" w:color="auto" w:fill="auto"/>
            <w:vAlign w:val="top"/>
          </w:tcPr>
          <w:p w14:paraId="4ADB5FF1">
            <w:pPr>
              <w:pStyle w:val="179"/>
              <w:bidi w:val="0"/>
              <w:ind w:firstLine="0" w:firstLineChars="0"/>
              <w:rPr>
                <w:rFonts w:hint="eastAsia" w:ascii="宋体" w:hAnsi="Times New Roman" w:eastAsia="宋体" w:cs="Times New Roman"/>
                <w:sz w:val="18"/>
                <w:lang w:val="en-US" w:eastAsia="zh-CN" w:bidi="ar-SA"/>
              </w:rPr>
            </w:pPr>
            <w:r>
              <w:t>√</w:t>
            </w:r>
          </w:p>
        </w:tc>
      </w:tr>
      <w:tr w14:paraId="3B93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pct"/>
          </w:tcPr>
          <w:p w14:paraId="7D5E29D5">
            <w:pPr>
              <w:pStyle w:val="179"/>
              <w:bidi w:val="0"/>
              <w:rPr>
                <w:rFonts w:hint="default"/>
                <w:lang w:val="en-US" w:eastAsia="zh-CN"/>
              </w:rPr>
            </w:pPr>
            <w:r>
              <w:rPr>
                <w:rFonts w:hint="eastAsia"/>
                <w:lang w:val="en-US" w:eastAsia="zh-CN"/>
              </w:rPr>
              <w:t>功率因数试验</w:t>
            </w:r>
          </w:p>
        </w:tc>
        <w:tc>
          <w:tcPr>
            <w:tcW w:w="1098" w:type="pct"/>
            <w:shd w:val="clear" w:color="auto" w:fill="auto"/>
            <w:vAlign w:val="top"/>
          </w:tcPr>
          <w:p w14:paraId="3E2CC0B8">
            <w:pPr>
              <w:pStyle w:val="179"/>
              <w:bidi w:val="0"/>
              <w:ind w:firstLine="0" w:firstLineChars="0"/>
              <w:rPr>
                <w:rFonts w:hint="eastAsia" w:ascii="宋体" w:hAnsi="Times New Roman" w:eastAsia="宋体" w:cs="Times New Roman"/>
                <w:sz w:val="18"/>
                <w:lang w:val="en-US" w:eastAsia="zh-CN" w:bidi="ar-SA"/>
              </w:rPr>
            </w:pPr>
            <w:r>
              <w:rPr>
                <w:rFonts w:hint="eastAsia"/>
                <w:lang w:val="en-US" w:eastAsia="zh-CN"/>
              </w:rPr>
              <w:t>6.2.1</w:t>
            </w:r>
          </w:p>
        </w:tc>
        <w:tc>
          <w:tcPr>
            <w:tcW w:w="1098" w:type="pct"/>
            <w:shd w:val="clear" w:color="auto" w:fill="auto"/>
            <w:vAlign w:val="top"/>
          </w:tcPr>
          <w:p w14:paraId="6711B2DD">
            <w:pPr>
              <w:pStyle w:val="179"/>
              <w:bidi w:val="0"/>
              <w:ind w:firstLine="0" w:firstLineChars="0"/>
              <w:rPr>
                <w:rFonts w:hint="eastAsia" w:ascii="宋体" w:hAnsi="Times New Roman" w:eastAsia="宋体" w:cs="Times New Roman"/>
                <w:sz w:val="18"/>
                <w:lang w:val="en-US" w:eastAsia="zh-CN" w:bidi="ar-SA"/>
              </w:rPr>
            </w:pPr>
            <w:r>
              <w:rPr>
                <w:rFonts w:hint="eastAsia" w:ascii="宋体" w:hAnsi="Times New Roman" w:eastAsia="宋体" w:cs="Times New Roman"/>
                <w:lang w:val="en-US" w:eastAsia="zh-CN"/>
              </w:rPr>
              <w:t>-</w:t>
            </w:r>
          </w:p>
        </w:tc>
        <w:tc>
          <w:tcPr>
            <w:tcW w:w="1098" w:type="pct"/>
            <w:shd w:val="clear" w:color="auto" w:fill="auto"/>
            <w:vAlign w:val="top"/>
          </w:tcPr>
          <w:p w14:paraId="1E958E72">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5810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pct"/>
          </w:tcPr>
          <w:p w14:paraId="66419B67">
            <w:pPr>
              <w:pStyle w:val="179"/>
              <w:bidi w:val="0"/>
              <w:rPr>
                <w:rFonts w:hint="default"/>
                <w:lang w:val="en-US" w:eastAsia="zh-CN"/>
              </w:rPr>
            </w:pPr>
            <w:r>
              <w:rPr>
                <w:rFonts w:hint="eastAsia"/>
                <w:lang w:val="en-US" w:eastAsia="zh-CN"/>
              </w:rPr>
              <w:t>总谐波畸变率试验</w:t>
            </w:r>
          </w:p>
        </w:tc>
        <w:tc>
          <w:tcPr>
            <w:tcW w:w="1098" w:type="pct"/>
            <w:shd w:val="clear" w:color="auto" w:fill="auto"/>
            <w:vAlign w:val="top"/>
          </w:tcPr>
          <w:p w14:paraId="4D8E2DE0">
            <w:pPr>
              <w:pStyle w:val="179"/>
              <w:bidi w:val="0"/>
              <w:ind w:firstLine="0" w:firstLineChars="0"/>
              <w:rPr>
                <w:rFonts w:hint="eastAsia" w:ascii="宋体" w:hAnsi="Times New Roman" w:eastAsia="宋体" w:cs="Times New Roman"/>
                <w:sz w:val="18"/>
                <w:lang w:val="en-US" w:eastAsia="zh-CN" w:bidi="ar-SA"/>
              </w:rPr>
            </w:pPr>
            <w:r>
              <w:rPr>
                <w:rFonts w:hint="eastAsia"/>
                <w:lang w:val="en-US" w:eastAsia="zh-CN"/>
              </w:rPr>
              <w:t>6.2.2</w:t>
            </w:r>
          </w:p>
        </w:tc>
        <w:tc>
          <w:tcPr>
            <w:tcW w:w="1098" w:type="pct"/>
            <w:shd w:val="clear" w:color="auto" w:fill="auto"/>
            <w:vAlign w:val="top"/>
          </w:tcPr>
          <w:p w14:paraId="79E331BE">
            <w:pPr>
              <w:pStyle w:val="179"/>
              <w:bidi w:val="0"/>
              <w:ind w:firstLine="0" w:firstLineChars="0"/>
              <w:rPr>
                <w:rFonts w:hint="eastAsia" w:ascii="宋体" w:hAnsi="Times New Roman" w:eastAsia="宋体" w:cs="Times New Roman"/>
                <w:sz w:val="18"/>
                <w:lang w:val="en-US" w:eastAsia="zh-CN" w:bidi="ar-SA"/>
              </w:rPr>
            </w:pPr>
            <w:r>
              <w:rPr>
                <w:rFonts w:hint="eastAsia" w:ascii="宋体" w:hAnsi="Times New Roman" w:eastAsia="宋体" w:cs="Times New Roman"/>
                <w:lang w:val="en-US" w:eastAsia="zh-CN"/>
              </w:rPr>
              <w:t>-</w:t>
            </w:r>
          </w:p>
        </w:tc>
        <w:tc>
          <w:tcPr>
            <w:tcW w:w="1098" w:type="pct"/>
            <w:shd w:val="clear" w:color="auto" w:fill="auto"/>
            <w:vAlign w:val="top"/>
          </w:tcPr>
          <w:p w14:paraId="6B219882">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432D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pct"/>
          </w:tcPr>
          <w:p w14:paraId="745ACDEE">
            <w:pPr>
              <w:pStyle w:val="179"/>
              <w:bidi w:val="0"/>
              <w:rPr>
                <w:rFonts w:hint="default"/>
                <w:lang w:val="en-US" w:eastAsia="zh-CN"/>
              </w:rPr>
            </w:pPr>
            <w:r>
              <w:rPr>
                <w:rFonts w:hint="eastAsia"/>
                <w:lang w:val="en-US" w:eastAsia="zh-CN"/>
              </w:rPr>
              <w:t>效率试验</w:t>
            </w:r>
          </w:p>
        </w:tc>
        <w:tc>
          <w:tcPr>
            <w:tcW w:w="1098" w:type="pct"/>
          </w:tcPr>
          <w:p w14:paraId="330D445F">
            <w:pPr>
              <w:pStyle w:val="179"/>
              <w:bidi w:val="0"/>
              <w:rPr>
                <w:rFonts w:hint="default"/>
                <w:lang w:val="en-US" w:eastAsia="zh-CN"/>
              </w:rPr>
            </w:pPr>
            <w:r>
              <w:rPr>
                <w:rFonts w:hint="eastAsia"/>
                <w:lang w:val="en-US" w:eastAsia="zh-CN"/>
              </w:rPr>
              <w:t>6.2.3</w:t>
            </w:r>
          </w:p>
        </w:tc>
        <w:tc>
          <w:tcPr>
            <w:tcW w:w="1098" w:type="pct"/>
          </w:tcPr>
          <w:p w14:paraId="4CF178C5">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094D7AB8">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4AA1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6566C6AA">
            <w:pPr>
              <w:pStyle w:val="179"/>
              <w:bidi w:val="0"/>
              <w:rPr>
                <w:rFonts w:hint="default"/>
                <w:lang w:val="en-US" w:eastAsia="zh-CN"/>
              </w:rPr>
            </w:pPr>
            <w:r>
              <w:rPr>
                <w:rFonts w:hint="eastAsia"/>
                <w:lang w:val="en-US" w:eastAsia="zh-CN"/>
              </w:rPr>
              <w:t>电压调节能力检查</w:t>
            </w:r>
          </w:p>
        </w:tc>
        <w:tc>
          <w:tcPr>
            <w:tcW w:w="1098" w:type="pct"/>
          </w:tcPr>
          <w:p w14:paraId="17095094">
            <w:pPr>
              <w:pStyle w:val="179"/>
              <w:bidi w:val="0"/>
              <w:rPr>
                <w:rFonts w:hint="default"/>
                <w:lang w:val="en-US" w:eastAsia="zh-CN"/>
              </w:rPr>
            </w:pPr>
            <w:r>
              <w:rPr>
                <w:rFonts w:hint="eastAsia"/>
                <w:lang w:val="en-US" w:eastAsia="zh-CN"/>
              </w:rPr>
              <w:t>6.2.4</w:t>
            </w:r>
          </w:p>
        </w:tc>
        <w:tc>
          <w:tcPr>
            <w:tcW w:w="1098" w:type="pct"/>
          </w:tcPr>
          <w:p w14:paraId="35FD2D5F">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7BB5F387">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4220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7F6CDB9D">
            <w:pPr>
              <w:pStyle w:val="179"/>
              <w:bidi w:val="0"/>
              <w:rPr>
                <w:rFonts w:hint="default"/>
                <w:lang w:val="en-US" w:eastAsia="zh-CN"/>
              </w:rPr>
            </w:pPr>
            <w:r>
              <w:rPr>
                <w:rFonts w:hint="eastAsia"/>
                <w:lang w:val="en-US" w:eastAsia="zh-CN"/>
              </w:rPr>
              <w:t>电气安全距离</w:t>
            </w:r>
          </w:p>
        </w:tc>
        <w:tc>
          <w:tcPr>
            <w:tcW w:w="1098" w:type="pct"/>
          </w:tcPr>
          <w:p w14:paraId="0A46F1BA">
            <w:pPr>
              <w:pStyle w:val="179"/>
              <w:bidi w:val="0"/>
              <w:rPr>
                <w:rFonts w:hint="default"/>
                <w:lang w:val="en-US" w:eastAsia="zh-CN"/>
              </w:rPr>
            </w:pPr>
            <w:r>
              <w:rPr>
                <w:rFonts w:hint="eastAsia"/>
                <w:lang w:val="en-US" w:eastAsia="zh-CN"/>
              </w:rPr>
              <w:t>6.2.5</w:t>
            </w:r>
          </w:p>
        </w:tc>
        <w:tc>
          <w:tcPr>
            <w:tcW w:w="1098" w:type="pct"/>
          </w:tcPr>
          <w:p w14:paraId="0DB08E5C">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0AC56CF5">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081C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75ACCAC4">
            <w:pPr>
              <w:pStyle w:val="179"/>
              <w:bidi w:val="0"/>
              <w:rPr>
                <w:rFonts w:hint="default"/>
                <w:highlight w:val="none"/>
                <w:lang w:val="en-US" w:eastAsia="zh-CN"/>
              </w:rPr>
            </w:pPr>
            <w:r>
              <w:rPr>
                <w:rFonts w:hint="eastAsia"/>
                <w:highlight w:val="none"/>
                <w:lang w:val="en-US" w:eastAsia="zh-CN"/>
              </w:rPr>
              <w:t>绝缘电阻测定</w:t>
            </w:r>
          </w:p>
        </w:tc>
        <w:tc>
          <w:tcPr>
            <w:tcW w:w="1098" w:type="pct"/>
          </w:tcPr>
          <w:p w14:paraId="0E646A5A">
            <w:pPr>
              <w:pStyle w:val="179"/>
              <w:bidi w:val="0"/>
              <w:rPr>
                <w:rFonts w:hint="default"/>
                <w:highlight w:val="none"/>
                <w:lang w:val="en-US" w:eastAsia="zh-CN"/>
              </w:rPr>
            </w:pPr>
            <w:r>
              <w:rPr>
                <w:rFonts w:hint="eastAsia"/>
                <w:highlight w:val="none"/>
                <w:lang w:val="en-US" w:eastAsia="zh-CN"/>
              </w:rPr>
              <w:t>6.2.6.1</w:t>
            </w:r>
          </w:p>
        </w:tc>
        <w:tc>
          <w:tcPr>
            <w:tcW w:w="1098" w:type="pct"/>
          </w:tcPr>
          <w:p w14:paraId="29C03883">
            <w:pPr>
              <w:pStyle w:val="179"/>
              <w:bidi w:val="0"/>
              <w:rPr>
                <w:rFonts w:hint="default" w:ascii="宋体" w:hAnsi="Times New Roman" w:eastAsia="宋体" w:cs="Times New Roman"/>
                <w:highlight w:val="none"/>
                <w:lang w:val="en-US" w:eastAsia="zh-CN"/>
              </w:rPr>
            </w:pPr>
            <w:r>
              <w:rPr>
                <w:rFonts w:hint="eastAsia" w:cs="Times New Roman"/>
                <w:highlight w:val="none"/>
                <w:lang w:val="en-US" w:eastAsia="zh-CN"/>
              </w:rPr>
              <w:t>-</w:t>
            </w:r>
          </w:p>
        </w:tc>
        <w:tc>
          <w:tcPr>
            <w:tcW w:w="1098" w:type="pct"/>
            <w:shd w:val="clear" w:color="auto" w:fill="auto"/>
            <w:vAlign w:val="top"/>
          </w:tcPr>
          <w:p w14:paraId="1C22EF20">
            <w:pPr>
              <w:pStyle w:val="179"/>
              <w:bidi w:val="0"/>
              <w:ind w:firstLine="0" w:firstLineChars="0"/>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r>
      <w:tr w14:paraId="4F9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5943D23A">
            <w:pPr>
              <w:pStyle w:val="179"/>
              <w:bidi w:val="0"/>
              <w:rPr>
                <w:rFonts w:hint="default"/>
                <w:lang w:val="en-US" w:eastAsia="zh-CN"/>
              </w:rPr>
            </w:pPr>
            <w:r>
              <w:rPr>
                <w:rFonts w:hint="eastAsia"/>
                <w:lang w:val="en-US" w:eastAsia="zh-CN"/>
              </w:rPr>
              <w:t>连接电阻测定</w:t>
            </w:r>
          </w:p>
        </w:tc>
        <w:tc>
          <w:tcPr>
            <w:tcW w:w="1098" w:type="pct"/>
          </w:tcPr>
          <w:p w14:paraId="78C378EF">
            <w:pPr>
              <w:pStyle w:val="179"/>
              <w:bidi w:val="0"/>
              <w:rPr>
                <w:rFonts w:hint="default"/>
                <w:lang w:val="en-US" w:eastAsia="zh-CN"/>
              </w:rPr>
            </w:pPr>
            <w:r>
              <w:rPr>
                <w:rFonts w:hint="eastAsia"/>
                <w:lang w:val="en-US" w:eastAsia="zh-CN"/>
              </w:rPr>
              <w:t>6.2.6.2、6.2.6.3</w:t>
            </w:r>
          </w:p>
        </w:tc>
        <w:tc>
          <w:tcPr>
            <w:tcW w:w="1098" w:type="pct"/>
          </w:tcPr>
          <w:p w14:paraId="44F1B025">
            <w:pPr>
              <w:pStyle w:val="179"/>
              <w:bidi w:val="0"/>
              <w:rPr>
                <w:rFonts w:hint="eastAsia" w:ascii="宋体" w:hAnsi="Times New Roman" w:eastAsia="宋体" w:cs="Times New Roman"/>
                <w:lang w:val="en-US" w:eastAsia="zh-CN"/>
              </w:rPr>
            </w:pPr>
            <w:r>
              <w:t>√</w:t>
            </w:r>
          </w:p>
        </w:tc>
        <w:tc>
          <w:tcPr>
            <w:tcW w:w="1098" w:type="pct"/>
            <w:shd w:val="clear" w:color="auto" w:fill="auto"/>
            <w:vAlign w:val="top"/>
          </w:tcPr>
          <w:p w14:paraId="67858CFC">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6189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06445AB9">
            <w:pPr>
              <w:pStyle w:val="179"/>
              <w:bidi w:val="0"/>
              <w:rPr>
                <w:rFonts w:hint="default"/>
                <w:lang w:val="en-US" w:eastAsia="zh-CN"/>
              </w:rPr>
            </w:pPr>
            <w:r>
              <w:rPr>
                <w:rFonts w:hint="eastAsia"/>
                <w:lang w:val="en-US" w:eastAsia="zh-CN"/>
              </w:rPr>
              <w:t>工频耐受电压试验</w:t>
            </w:r>
          </w:p>
        </w:tc>
        <w:tc>
          <w:tcPr>
            <w:tcW w:w="1098" w:type="pct"/>
          </w:tcPr>
          <w:p w14:paraId="1AB86D01">
            <w:pPr>
              <w:pStyle w:val="179"/>
              <w:bidi w:val="0"/>
              <w:rPr>
                <w:rFonts w:hint="default"/>
                <w:lang w:val="en-US" w:eastAsia="zh-CN"/>
              </w:rPr>
            </w:pPr>
            <w:r>
              <w:rPr>
                <w:rFonts w:hint="eastAsia"/>
                <w:lang w:val="en-US" w:eastAsia="zh-CN"/>
              </w:rPr>
              <w:t>6.2.6.4</w:t>
            </w:r>
          </w:p>
        </w:tc>
        <w:tc>
          <w:tcPr>
            <w:tcW w:w="1098" w:type="pct"/>
          </w:tcPr>
          <w:p w14:paraId="1C8695E0">
            <w:pPr>
              <w:pStyle w:val="179"/>
              <w:bidi w:val="0"/>
              <w:rPr>
                <w:rFonts w:hint="eastAsia" w:ascii="宋体" w:hAnsi="Times New Roman" w:eastAsia="宋体" w:cs="Times New Roman"/>
                <w:lang w:val="en-US" w:eastAsia="zh-CN"/>
              </w:rPr>
            </w:pPr>
            <w:r>
              <w:t>√</w:t>
            </w:r>
          </w:p>
        </w:tc>
        <w:tc>
          <w:tcPr>
            <w:tcW w:w="1098" w:type="pct"/>
            <w:shd w:val="clear" w:color="auto" w:fill="auto"/>
            <w:vAlign w:val="top"/>
          </w:tcPr>
          <w:p w14:paraId="677025EA">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4A69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4" w:type="pct"/>
          </w:tcPr>
          <w:p w14:paraId="3D1643C2">
            <w:pPr>
              <w:pStyle w:val="179"/>
              <w:bidi w:val="0"/>
              <w:rPr>
                <w:rFonts w:hint="default"/>
                <w:lang w:val="en-US" w:eastAsia="zh-CN"/>
              </w:rPr>
            </w:pPr>
            <w:r>
              <w:rPr>
                <w:rFonts w:hint="eastAsia"/>
                <w:lang w:val="en-US" w:eastAsia="zh-CN"/>
              </w:rPr>
              <w:t>雷电冲击耐受电压试验</w:t>
            </w:r>
          </w:p>
        </w:tc>
        <w:tc>
          <w:tcPr>
            <w:tcW w:w="1098" w:type="pct"/>
          </w:tcPr>
          <w:p w14:paraId="05AB6F4B">
            <w:pPr>
              <w:pStyle w:val="179"/>
              <w:bidi w:val="0"/>
              <w:rPr>
                <w:rFonts w:hint="default"/>
                <w:lang w:val="en-US" w:eastAsia="zh-CN"/>
              </w:rPr>
            </w:pPr>
            <w:r>
              <w:rPr>
                <w:rFonts w:hint="eastAsia"/>
                <w:lang w:val="en-US" w:eastAsia="zh-CN"/>
              </w:rPr>
              <w:t>6.2.6.4</w:t>
            </w:r>
          </w:p>
        </w:tc>
        <w:tc>
          <w:tcPr>
            <w:tcW w:w="1098" w:type="pct"/>
          </w:tcPr>
          <w:p w14:paraId="1024FE18">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57DAAF8C">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547E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794F4D9B">
            <w:pPr>
              <w:pStyle w:val="179"/>
              <w:bidi w:val="0"/>
              <w:rPr>
                <w:rFonts w:hint="default"/>
                <w:lang w:val="en-US" w:eastAsia="zh-CN"/>
              </w:rPr>
            </w:pPr>
            <w:r>
              <w:rPr>
                <w:rFonts w:hint="eastAsia"/>
                <w:lang w:val="en-US" w:eastAsia="zh-CN"/>
              </w:rPr>
              <w:t>温升试验</w:t>
            </w:r>
          </w:p>
        </w:tc>
        <w:tc>
          <w:tcPr>
            <w:tcW w:w="1098" w:type="pct"/>
          </w:tcPr>
          <w:p w14:paraId="49BD3732">
            <w:pPr>
              <w:pStyle w:val="179"/>
              <w:bidi w:val="0"/>
              <w:rPr>
                <w:rFonts w:hint="default"/>
                <w:lang w:val="en-US" w:eastAsia="zh-CN"/>
              </w:rPr>
            </w:pPr>
            <w:r>
              <w:rPr>
                <w:rFonts w:hint="eastAsia"/>
                <w:lang w:val="en-US" w:eastAsia="zh-CN"/>
              </w:rPr>
              <w:t>6.2.6.5</w:t>
            </w:r>
          </w:p>
        </w:tc>
        <w:tc>
          <w:tcPr>
            <w:tcW w:w="1098" w:type="pct"/>
          </w:tcPr>
          <w:p w14:paraId="5B557E75">
            <w:pPr>
              <w:pStyle w:val="179"/>
              <w:bidi w:val="0"/>
              <w:rPr>
                <w:rFonts w:hint="default" w:ascii="宋体" w:hAnsi="Times New Roman" w:eastAsia="宋体" w:cs="Times New Roman"/>
                <w:lang w:val="en-US" w:eastAsia="zh-CN"/>
              </w:rPr>
            </w:pPr>
            <w:r>
              <w:rPr>
                <w:rFonts w:hint="eastAsia" w:cs="Times New Roman"/>
                <w:lang w:val="en-US" w:eastAsia="zh-CN"/>
              </w:rPr>
              <w:t>-</w:t>
            </w:r>
          </w:p>
        </w:tc>
        <w:tc>
          <w:tcPr>
            <w:tcW w:w="1098" w:type="pct"/>
            <w:shd w:val="clear" w:color="auto" w:fill="auto"/>
            <w:vAlign w:val="top"/>
          </w:tcPr>
          <w:p w14:paraId="1FEDB512">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5D7C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2EB95298">
            <w:pPr>
              <w:pStyle w:val="179"/>
              <w:bidi w:val="0"/>
              <w:rPr>
                <w:rFonts w:hint="default"/>
                <w:lang w:val="en-US" w:eastAsia="zh-CN"/>
              </w:rPr>
            </w:pPr>
            <w:r>
              <w:rPr>
                <w:rFonts w:hint="eastAsia"/>
                <w:lang w:val="en-US" w:eastAsia="zh-CN"/>
              </w:rPr>
              <w:t>双向变换测试</w:t>
            </w:r>
          </w:p>
        </w:tc>
        <w:tc>
          <w:tcPr>
            <w:tcW w:w="1098" w:type="pct"/>
          </w:tcPr>
          <w:p w14:paraId="027AEDA8">
            <w:pPr>
              <w:pStyle w:val="179"/>
              <w:bidi w:val="0"/>
              <w:rPr>
                <w:rFonts w:hint="default"/>
                <w:lang w:val="en-US" w:eastAsia="zh-CN"/>
              </w:rPr>
            </w:pPr>
            <w:r>
              <w:rPr>
                <w:rFonts w:hint="eastAsia"/>
                <w:lang w:val="en-US" w:eastAsia="zh-CN"/>
              </w:rPr>
              <w:t>6.3.1</w:t>
            </w:r>
          </w:p>
        </w:tc>
        <w:tc>
          <w:tcPr>
            <w:tcW w:w="1098" w:type="pct"/>
          </w:tcPr>
          <w:p w14:paraId="1BAC08E4">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10A1D91E">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148B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20B7E366">
            <w:pPr>
              <w:pStyle w:val="179"/>
              <w:bidi w:val="0"/>
              <w:rPr>
                <w:rFonts w:hint="default"/>
                <w:lang w:val="en-US" w:eastAsia="zh-CN"/>
              </w:rPr>
            </w:pPr>
            <w:r>
              <w:rPr>
                <w:rFonts w:hint="eastAsia"/>
                <w:lang w:val="en-US" w:eastAsia="zh-CN"/>
              </w:rPr>
              <w:t>接口兼容性测试</w:t>
            </w:r>
          </w:p>
        </w:tc>
        <w:tc>
          <w:tcPr>
            <w:tcW w:w="1098" w:type="pct"/>
          </w:tcPr>
          <w:p w14:paraId="704DFD84">
            <w:pPr>
              <w:pStyle w:val="179"/>
              <w:bidi w:val="0"/>
              <w:rPr>
                <w:rFonts w:hint="default"/>
                <w:lang w:val="en-US" w:eastAsia="zh-CN"/>
              </w:rPr>
            </w:pPr>
            <w:r>
              <w:rPr>
                <w:rFonts w:hint="eastAsia"/>
                <w:lang w:val="en-US" w:eastAsia="zh-CN"/>
              </w:rPr>
              <w:t>6.3.2</w:t>
            </w:r>
          </w:p>
        </w:tc>
        <w:tc>
          <w:tcPr>
            <w:tcW w:w="1098" w:type="pct"/>
          </w:tcPr>
          <w:p w14:paraId="2ACB0DD1">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24AC34DF">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404F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08946774">
            <w:pPr>
              <w:pStyle w:val="179"/>
              <w:bidi w:val="0"/>
              <w:rPr>
                <w:rFonts w:hint="default"/>
                <w:highlight w:val="none"/>
                <w:lang w:val="en-US" w:eastAsia="zh-CN"/>
              </w:rPr>
            </w:pPr>
            <w:r>
              <w:rPr>
                <w:rFonts w:hint="eastAsia"/>
                <w:highlight w:val="none"/>
                <w:lang w:val="en-US" w:eastAsia="zh-CN"/>
              </w:rPr>
              <w:t>过压保护</w:t>
            </w:r>
          </w:p>
        </w:tc>
        <w:tc>
          <w:tcPr>
            <w:tcW w:w="1098" w:type="pct"/>
          </w:tcPr>
          <w:p w14:paraId="7C7D80DC">
            <w:pPr>
              <w:pStyle w:val="179"/>
              <w:bidi w:val="0"/>
              <w:rPr>
                <w:rFonts w:hint="default"/>
                <w:highlight w:val="none"/>
                <w:lang w:val="en-US" w:eastAsia="zh-CN"/>
              </w:rPr>
            </w:pPr>
            <w:r>
              <w:rPr>
                <w:rFonts w:hint="eastAsia"/>
                <w:highlight w:val="none"/>
                <w:lang w:val="en-US" w:eastAsia="zh-CN"/>
              </w:rPr>
              <w:t>6.4.1</w:t>
            </w:r>
          </w:p>
        </w:tc>
        <w:tc>
          <w:tcPr>
            <w:tcW w:w="1098" w:type="pct"/>
          </w:tcPr>
          <w:p w14:paraId="2C32E745">
            <w:pPr>
              <w:pStyle w:val="179"/>
              <w:bidi w:val="0"/>
              <w:rPr>
                <w:rFonts w:hint="eastAsia" w:ascii="宋体" w:hAnsi="Times New Roman" w:eastAsia="宋体" w:cs="Times New Roman"/>
                <w:strike w:val="0"/>
                <w:dstrike w:val="0"/>
                <w:highlight w:val="none"/>
                <w:lang w:val="en-US" w:eastAsia="zh-CN"/>
              </w:rPr>
            </w:pPr>
            <w:r>
              <w:rPr>
                <w:rFonts w:hint="eastAsia"/>
                <w:strike w:val="0"/>
                <w:dstrike w:val="0"/>
                <w:highlight w:val="none"/>
                <w:lang w:val="en-US" w:eastAsia="zh-CN"/>
              </w:rPr>
              <w:t>-</w:t>
            </w:r>
          </w:p>
        </w:tc>
        <w:tc>
          <w:tcPr>
            <w:tcW w:w="1098" w:type="pct"/>
            <w:shd w:val="clear" w:color="auto" w:fill="auto"/>
            <w:vAlign w:val="top"/>
          </w:tcPr>
          <w:p w14:paraId="6291EA47">
            <w:pPr>
              <w:pStyle w:val="179"/>
              <w:bidi w:val="0"/>
              <w:ind w:firstLine="0" w:firstLineChars="0"/>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r>
      <w:tr w14:paraId="7433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6390B6A6">
            <w:pPr>
              <w:pStyle w:val="179"/>
              <w:bidi w:val="0"/>
              <w:rPr>
                <w:rFonts w:hint="default"/>
                <w:highlight w:val="none"/>
                <w:lang w:val="en-US" w:eastAsia="zh-CN"/>
              </w:rPr>
            </w:pPr>
            <w:r>
              <w:rPr>
                <w:rFonts w:hint="eastAsia"/>
                <w:highlight w:val="none"/>
                <w:lang w:val="en-US" w:eastAsia="zh-CN"/>
              </w:rPr>
              <w:t>过流保护</w:t>
            </w:r>
          </w:p>
        </w:tc>
        <w:tc>
          <w:tcPr>
            <w:tcW w:w="1098" w:type="pct"/>
          </w:tcPr>
          <w:p w14:paraId="087C9414">
            <w:pPr>
              <w:pStyle w:val="179"/>
              <w:bidi w:val="0"/>
              <w:rPr>
                <w:rFonts w:hint="default"/>
                <w:highlight w:val="none"/>
                <w:lang w:val="en-US" w:eastAsia="zh-CN"/>
              </w:rPr>
            </w:pPr>
            <w:r>
              <w:rPr>
                <w:rFonts w:hint="eastAsia"/>
                <w:highlight w:val="none"/>
                <w:lang w:val="en-US" w:eastAsia="zh-CN"/>
              </w:rPr>
              <w:t>6.4.2</w:t>
            </w:r>
          </w:p>
        </w:tc>
        <w:tc>
          <w:tcPr>
            <w:tcW w:w="1098" w:type="pct"/>
          </w:tcPr>
          <w:p w14:paraId="518B1B9A">
            <w:pPr>
              <w:pStyle w:val="179"/>
              <w:bidi w:val="0"/>
              <w:rPr>
                <w:rFonts w:hint="eastAsia" w:ascii="宋体" w:hAnsi="Times New Roman" w:eastAsia="宋体" w:cs="Times New Roman"/>
                <w:strike w:val="0"/>
                <w:dstrike w:val="0"/>
                <w:highlight w:val="none"/>
                <w:lang w:val="en-US" w:eastAsia="zh-CN"/>
              </w:rPr>
            </w:pPr>
            <w:r>
              <w:rPr>
                <w:rFonts w:hint="eastAsia"/>
                <w:strike w:val="0"/>
                <w:dstrike w:val="0"/>
                <w:highlight w:val="none"/>
                <w:lang w:val="en-US" w:eastAsia="zh-CN"/>
              </w:rPr>
              <w:t>-</w:t>
            </w:r>
          </w:p>
        </w:tc>
        <w:tc>
          <w:tcPr>
            <w:tcW w:w="1098" w:type="pct"/>
            <w:shd w:val="clear" w:color="auto" w:fill="auto"/>
            <w:vAlign w:val="top"/>
          </w:tcPr>
          <w:p w14:paraId="7AF3B545">
            <w:pPr>
              <w:pStyle w:val="179"/>
              <w:bidi w:val="0"/>
              <w:ind w:firstLine="0" w:firstLineChars="0"/>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r>
      <w:tr w14:paraId="0BA4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668B9FF0">
            <w:pPr>
              <w:pStyle w:val="179"/>
              <w:bidi w:val="0"/>
              <w:rPr>
                <w:rFonts w:hint="default"/>
                <w:highlight w:val="none"/>
                <w:lang w:val="en-US" w:eastAsia="zh-CN"/>
              </w:rPr>
            </w:pPr>
            <w:r>
              <w:rPr>
                <w:rFonts w:hint="eastAsia"/>
                <w:highlight w:val="none"/>
                <w:lang w:val="en-US" w:eastAsia="zh-CN"/>
              </w:rPr>
              <w:t>过温保护</w:t>
            </w:r>
          </w:p>
        </w:tc>
        <w:tc>
          <w:tcPr>
            <w:tcW w:w="1098" w:type="pct"/>
          </w:tcPr>
          <w:p w14:paraId="17944688">
            <w:pPr>
              <w:pStyle w:val="179"/>
              <w:bidi w:val="0"/>
              <w:rPr>
                <w:rFonts w:hint="default"/>
                <w:highlight w:val="none"/>
                <w:lang w:val="en-US" w:eastAsia="zh-CN"/>
              </w:rPr>
            </w:pPr>
            <w:r>
              <w:rPr>
                <w:rFonts w:hint="eastAsia"/>
                <w:highlight w:val="none"/>
                <w:lang w:val="en-US" w:eastAsia="zh-CN"/>
              </w:rPr>
              <w:t>6.4.3</w:t>
            </w:r>
          </w:p>
        </w:tc>
        <w:tc>
          <w:tcPr>
            <w:tcW w:w="1098" w:type="pct"/>
          </w:tcPr>
          <w:p w14:paraId="53617D65">
            <w:pPr>
              <w:pStyle w:val="179"/>
              <w:bidi w:val="0"/>
              <w:rPr>
                <w:rFonts w:hint="eastAsia" w:ascii="宋体" w:hAnsi="Times New Roman" w:eastAsia="宋体" w:cs="Times New Roman"/>
                <w:strike w:val="0"/>
                <w:dstrike w:val="0"/>
                <w:highlight w:val="none"/>
                <w:lang w:val="en-US" w:eastAsia="zh-CN"/>
              </w:rPr>
            </w:pPr>
            <w:r>
              <w:rPr>
                <w:rFonts w:hint="eastAsia"/>
                <w:strike w:val="0"/>
                <w:dstrike w:val="0"/>
                <w:highlight w:val="none"/>
                <w:lang w:val="en-US" w:eastAsia="zh-CN"/>
              </w:rPr>
              <w:t>-</w:t>
            </w:r>
          </w:p>
        </w:tc>
        <w:tc>
          <w:tcPr>
            <w:tcW w:w="1098" w:type="pct"/>
            <w:shd w:val="clear" w:color="auto" w:fill="auto"/>
            <w:vAlign w:val="top"/>
          </w:tcPr>
          <w:p w14:paraId="357D8A8C">
            <w:pPr>
              <w:pStyle w:val="179"/>
              <w:bidi w:val="0"/>
              <w:ind w:firstLine="0" w:firstLineChars="0"/>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r>
      <w:tr w14:paraId="1FF9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1591E054">
            <w:pPr>
              <w:pStyle w:val="179"/>
              <w:bidi w:val="0"/>
              <w:rPr>
                <w:rFonts w:hint="default"/>
                <w:highlight w:val="none"/>
                <w:lang w:val="en-US" w:eastAsia="zh-CN"/>
              </w:rPr>
            </w:pPr>
            <w:r>
              <w:rPr>
                <w:rFonts w:hint="eastAsia"/>
                <w:highlight w:val="none"/>
                <w:lang w:val="en-US" w:eastAsia="zh-CN"/>
              </w:rPr>
              <w:t>短路保护</w:t>
            </w:r>
          </w:p>
        </w:tc>
        <w:tc>
          <w:tcPr>
            <w:tcW w:w="1098" w:type="pct"/>
          </w:tcPr>
          <w:p w14:paraId="7D9DAA3D">
            <w:pPr>
              <w:pStyle w:val="179"/>
              <w:bidi w:val="0"/>
              <w:rPr>
                <w:rFonts w:hint="default"/>
                <w:highlight w:val="none"/>
                <w:lang w:val="en-US" w:eastAsia="zh-CN"/>
              </w:rPr>
            </w:pPr>
            <w:r>
              <w:rPr>
                <w:rFonts w:hint="eastAsia"/>
                <w:highlight w:val="none"/>
                <w:lang w:val="en-US" w:eastAsia="zh-CN"/>
              </w:rPr>
              <w:t>6.4.4</w:t>
            </w:r>
          </w:p>
        </w:tc>
        <w:tc>
          <w:tcPr>
            <w:tcW w:w="1098" w:type="pct"/>
          </w:tcPr>
          <w:p w14:paraId="7BAA7D93">
            <w:pPr>
              <w:pStyle w:val="179"/>
              <w:bidi w:val="0"/>
              <w:rPr>
                <w:rFonts w:hint="eastAsia" w:ascii="宋体" w:hAnsi="Times New Roman" w:eastAsia="宋体" w:cs="Times New Roman"/>
                <w:strike w:val="0"/>
                <w:dstrike w:val="0"/>
                <w:highlight w:val="none"/>
                <w:lang w:val="en-US" w:eastAsia="zh-CN"/>
              </w:rPr>
            </w:pPr>
            <w:r>
              <w:rPr>
                <w:rFonts w:hint="eastAsia"/>
                <w:strike w:val="0"/>
                <w:dstrike w:val="0"/>
                <w:highlight w:val="none"/>
                <w:lang w:val="en-US" w:eastAsia="zh-CN"/>
              </w:rPr>
              <w:t>-</w:t>
            </w:r>
          </w:p>
        </w:tc>
        <w:tc>
          <w:tcPr>
            <w:tcW w:w="1098" w:type="pct"/>
            <w:shd w:val="clear" w:color="auto" w:fill="auto"/>
            <w:vAlign w:val="top"/>
          </w:tcPr>
          <w:p w14:paraId="5921D832">
            <w:pPr>
              <w:pStyle w:val="179"/>
              <w:bidi w:val="0"/>
              <w:ind w:firstLine="0" w:firstLineChars="0"/>
              <w:rPr>
                <w:rFonts w:hint="eastAsia" w:ascii="宋体" w:hAnsi="Times New Roman" w:eastAsia="宋体" w:cs="Times New Roman"/>
                <w:sz w:val="18"/>
                <w:highlight w:val="none"/>
                <w:lang w:val="en-US" w:eastAsia="zh-CN" w:bidi="ar-SA"/>
              </w:rPr>
            </w:pPr>
            <w:r>
              <w:rPr>
                <w:rFonts w:ascii="宋体" w:hAnsi="Times New Roman" w:eastAsia="宋体" w:cs="Times New Roman"/>
                <w:highlight w:val="none"/>
              </w:rPr>
              <w:t>√</w:t>
            </w:r>
          </w:p>
        </w:tc>
      </w:tr>
      <w:tr w14:paraId="23F0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395197B2">
            <w:pPr>
              <w:pStyle w:val="179"/>
              <w:bidi w:val="0"/>
              <w:rPr>
                <w:rFonts w:hint="eastAsia"/>
                <w:highlight w:val="none"/>
                <w:lang w:val="en-US" w:eastAsia="zh-CN"/>
              </w:rPr>
            </w:pPr>
            <w:r>
              <w:rPr>
                <w:rFonts w:hint="eastAsia"/>
                <w:highlight w:val="none"/>
                <w:lang w:val="en-US" w:eastAsia="zh-CN"/>
              </w:rPr>
              <w:t>通信故障保护</w:t>
            </w:r>
          </w:p>
        </w:tc>
        <w:tc>
          <w:tcPr>
            <w:tcW w:w="1098" w:type="pct"/>
          </w:tcPr>
          <w:p w14:paraId="54480979">
            <w:pPr>
              <w:pStyle w:val="179"/>
              <w:bidi w:val="0"/>
              <w:rPr>
                <w:rFonts w:hint="default"/>
                <w:highlight w:val="none"/>
                <w:lang w:val="en-US" w:eastAsia="zh-CN"/>
              </w:rPr>
            </w:pPr>
            <w:r>
              <w:rPr>
                <w:rFonts w:hint="eastAsia"/>
                <w:highlight w:val="none"/>
                <w:lang w:val="en-US" w:eastAsia="zh-CN"/>
              </w:rPr>
              <w:t>6.4.5</w:t>
            </w:r>
          </w:p>
        </w:tc>
        <w:tc>
          <w:tcPr>
            <w:tcW w:w="1098" w:type="pct"/>
          </w:tcPr>
          <w:p w14:paraId="66C25D87">
            <w:pPr>
              <w:pStyle w:val="179"/>
              <w:bidi w:val="0"/>
              <w:rPr>
                <w:rFonts w:hint="default"/>
                <w:strike w:val="0"/>
                <w:dstrike w:val="0"/>
                <w:highlight w:val="none"/>
                <w:lang w:val="en-US" w:eastAsia="zh-CN"/>
              </w:rPr>
            </w:pPr>
            <w:r>
              <w:rPr>
                <w:rFonts w:hint="eastAsia"/>
                <w:strike w:val="0"/>
                <w:dstrike w:val="0"/>
                <w:highlight w:val="none"/>
                <w:lang w:val="en-US" w:eastAsia="zh-CN"/>
              </w:rPr>
              <w:t>-</w:t>
            </w:r>
          </w:p>
        </w:tc>
        <w:tc>
          <w:tcPr>
            <w:tcW w:w="1098" w:type="pct"/>
            <w:shd w:val="clear" w:color="auto" w:fill="auto"/>
            <w:vAlign w:val="top"/>
          </w:tcPr>
          <w:p w14:paraId="51E4BAA3">
            <w:pPr>
              <w:pStyle w:val="179"/>
              <w:bidi w:val="0"/>
              <w:ind w:firstLine="0" w:firstLineChars="0"/>
              <w:rPr>
                <w:rFonts w:hint="eastAsia" w:ascii="宋体" w:hAnsi="Times New Roman" w:eastAsia="宋体" w:cs="Times New Roman"/>
                <w:highlight w:val="none"/>
                <w:lang w:val="en-US" w:eastAsia="zh-CN"/>
              </w:rPr>
            </w:pPr>
            <w:r>
              <w:rPr>
                <w:rFonts w:ascii="宋体" w:hAnsi="Times New Roman" w:eastAsia="宋体" w:cs="Times New Roman"/>
                <w:highlight w:val="none"/>
              </w:rPr>
              <w:t>√</w:t>
            </w:r>
          </w:p>
        </w:tc>
      </w:tr>
      <w:tr w14:paraId="6B51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04" w:type="pct"/>
          </w:tcPr>
          <w:p w14:paraId="5F78581A">
            <w:pPr>
              <w:pStyle w:val="179"/>
              <w:bidi w:val="0"/>
              <w:rPr>
                <w:rFonts w:hint="default"/>
                <w:lang w:val="en-US" w:eastAsia="zh-CN"/>
              </w:rPr>
            </w:pPr>
            <w:r>
              <w:rPr>
                <w:rFonts w:hint="eastAsia"/>
                <w:lang w:val="en-US" w:eastAsia="zh-CN"/>
              </w:rPr>
              <w:t>静电放电抗扰度试验</w:t>
            </w:r>
          </w:p>
        </w:tc>
        <w:tc>
          <w:tcPr>
            <w:tcW w:w="1098" w:type="pct"/>
          </w:tcPr>
          <w:p w14:paraId="603FF2F4">
            <w:pPr>
              <w:pStyle w:val="179"/>
              <w:bidi w:val="0"/>
              <w:rPr>
                <w:rFonts w:hint="default"/>
                <w:lang w:val="en-US" w:eastAsia="zh-CN"/>
              </w:rPr>
            </w:pPr>
            <w:r>
              <w:rPr>
                <w:rFonts w:hint="eastAsia"/>
                <w:lang w:val="en-US" w:eastAsia="zh-CN"/>
              </w:rPr>
              <w:t>6.5.1</w:t>
            </w:r>
          </w:p>
        </w:tc>
        <w:tc>
          <w:tcPr>
            <w:tcW w:w="1098" w:type="pct"/>
          </w:tcPr>
          <w:p w14:paraId="170F96C7">
            <w:pPr>
              <w:pStyle w:val="179"/>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239E489B">
            <w:pPr>
              <w:pStyle w:val="179"/>
              <w:bidi w:val="0"/>
              <w:ind w:firstLine="0" w:firstLineChars="0"/>
              <w:rPr>
                <w:rFonts w:hint="eastAsia" w:ascii="宋体" w:hAnsi="Times New Roman" w:eastAsia="宋体" w:cs="Times New Roman"/>
                <w:sz w:val="18"/>
                <w:lang w:val="en-US" w:eastAsia="zh-CN" w:bidi="ar-SA"/>
              </w:rPr>
            </w:pPr>
            <w:r>
              <w:rPr>
                <w:rFonts w:ascii="宋体" w:hAnsi="Times New Roman" w:eastAsia="宋体" w:cs="Times New Roman"/>
              </w:rPr>
              <w:t>√</w:t>
            </w:r>
          </w:p>
        </w:tc>
      </w:tr>
      <w:tr w14:paraId="52E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0B04A226">
            <w:pPr>
              <w:pStyle w:val="179"/>
              <w:bidi w:val="0"/>
              <w:rPr>
                <w:rFonts w:hint="eastAsia"/>
                <w:lang w:val="en-US" w:eastAsia="zh-CN"/>
              </w:rPr>
            </w:pPr>
            <w:r>
              <w:rPr>
                <w:rFonts w:hint="eastAsia"/>
                <w:lang w:val="en-US" w:eastAsia="zh-CN"/>
              </w:rPr>
              <w:t>射频电磁场辐射抗扰度试验</w:t>
            </w:r>
          </w:p>
        </w:tc>
        <w:tc>
          <w:tcPr>
            <w:tcW w:w="1098" w:type="pct"/>
          </w:tcPr>
          <w:p w14:paraId="55A797FA">
            <w:pPr>
              <w:pStyle w:val="179"/>
              <w:bidi w:val="0"/>
              <w:rPr>
                <w:rFonts w:hint="default"/>
                <w:lang w:val="en-US" w:eastAsia="zh-CN"/>
              </w:rPr>
            </w:pPr>
            <w:r>
              <w:rPr>
                <w:rFonts w:hint="eastAsia"/>
                <w:lang w:val="en-US" w:eastAsia="zh-CN"/>
              </w:rPr>
              <w:t>6.5.2</w:t>
            </w:r>
          </w:p>
        </w:tc>
        <w:tc>
          <w:tcPr>
            <w:tcW w:w="1098" w:type="pct"/>
          </w:tcPr>
          <w:p w14:paraId="4FD6B19E">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3EA45669">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6301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647B8879">
            <w:pPr>
              <w:pStyle w:val="179"/>
              <w:bidi w:val="0"/>
              <w:rPr>
                <w:rFonts w:hint="eastAsia"/>
                <w:lang w:val="en-US" w:eastAsia="zh-CN"/>
              </w:rPr>
            </w:pPr>
            <w:r>
              <w:rPr>
                <w:rFonts w:hint="eastAsia"/>
                <w:lang w:val="en-US" w:eastAsia="zh-CN"/>
              </w:rPr>
              <w:t>电快速瞬变脉冲群抗扰度试验</w:t>
            </w:r>
          </w:p>
        </w:tc>
        <w:tc>
          <w:tcPr>
            <w:tcW w:w="1098" w:type="pct"/>
          </w:tcPr>
          <w:p w14:paraId="4325835B">
            <w:pPr>
              <w:pStyle w:val="179"/>
              <w:bidi w:val="0"/>
              <w:rPr>
                <w:rFonts w:hint="default"/>
                <w:lang w:val="en-US" w:eastAsia="zh-CN"/>
              </w:rPr>
            </w:pPr>
            <w:r>
              <w:rPr>
                <w:rFonts w:hint="eastAsia"/>
                <w:lang w:val="en-US" w:eastAsia="zh-CN"/>
              </w:rPr>
              <w:t>6.5.3</w:t>
            </w:r>
          </w:p>
        </w:tc>
        <w:tc>
          <w:tcPr>
            <w:tcW w:w="1098" w:type="pct"/>
          </w:tcPr>
          <w:p w14:paraId="6E3DDD2C">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3CF139C9">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6C2A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0925AF2C">
            <w:pPr>
              <w:pStyle w:val="179"/>
              <w:bidi w:val="0"/>
              <w:rPr>
                <w:rFonts w:hint="eastAsia"/>
                <w:lang w:val="en-US" w:eastAsia="zh-CN"/>
              </w:rPr>
            </w:pPr>
            <w:r>
              <w:rPr>
                <w:rFonts w:hint="eastAsia"/>
                <w:lang w:val="en-US" w:eastAsia="zh-CN"/>
              </w:rPr>
              <w:t>浪涌抗扰度试验</w:t>
            </w:r>
          </w:p>
        </w:tc>
        <w:tc>
          <w:tcPr>
            <w:tcW w:w="1098" w:type="pct"/>
          </w:tcPr>
          <w:p w14:paraId="4E1D8B2F">
            <w:pPr>
              <w:pStyle w:val="179"/>
              <w:bidi w:val="0"/>
              <w:rPr>
                <w:rFonts w:hint="default"/>
                <w:lang w:val="en-US" w:eastAsia="zh-CN"/>
              </w:rPr>
            </w:pPr>
            <w:r>
              <w:rPr>
                <w:rFonts w:hint="eastAsia"/>
                <w:lang w:val="en-US" w:eastAsia="zh-CN"/>
              </w:rPr>
              <w:t>6.5.4</w:t>
            </w:r>
          </w:p>
        </w:tc>
        <w:tc>
          <w:tcPr>
            <w:tcW w:w="1098" w:type="pct"/>
          </w:tcPr>
          <w:p w14:paraId="066328DA">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41794B19">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7983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shd w:val="clear" w:color="auto" w:fill="auto"/>
            <w:vAlign w:val="top"/>
          </w:tcPr>
          <w:p w14:paraId="62B7CB90">
            <w:pPr>
              <w:pStyle w:val="179"/>
              <w:bidi w:val="0"/>
              <w:ind w:firstLine="0" w:firstLineChars="0"/>
              <w:rPr>
                <w:rFonts w:hint="eastAsia" w:ascii="宋体" w:hAnsi="Times New Roman" w:eastAsia="宋体" w:cs="Times New Roman"/>
                <w:sz w:val="18"/>
                <w:lang w:val="en-US" w:eastAsia="zh-CN" w:bidi="ar-SA"/>
              </w:rPr>
            </w:pPr>
            <w:r>
              <w:rPr>
                <w:rFonts w:hint="eastAsia"/>
                <w:lang w:val="en-US" w:eastAsia="zh-CN"/>
              </w:rPr>
              <w:t>射频场感应的传导骚扰抗扰度试验</w:t>
            </w:r>
          </w:p>
        </w:tc>
        <w:tc>
          <w:tcPr>
            <w:tcW w:w="1098" w:type="pct"/>
          </w:tcPr>
          <w:p w14:paraId="2C30C556">
            <w:pPr>
              <w:pStyle w:val="179"/>
              <w:bidi w:val="0"/>
              <w:rPr>
                <w:rFonts w:hint="default"/>
                <w:lang w:val="en-US" w:eastAsia="zh-CN"/>
              </w:rPr>
            </w:pPr>
            <w:r>
              <w:rPr>
                <w:rFonts w:hint="eastAsia"/>
                <w:lang w:val="en-US" w:eastAsia="zh-CN"/>
              </w:rPr>
              <w:t>6.5.5</w:t>
            </w:r>
          </w:p>
        </w:tc>
        <w:tc>
          <w:tcPr>
            <w:tcW w:w="1098" w:type="pct"/>
          </w:tcPr>
          <w:p w14:paraId="711E2FD3">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72EA14F2">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089C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shd w:val="clear" w:color="auto" w:fill="auto"/>
            <w:vAlign w:val="top"/>
          </w:tcPr>
          <w:p w14:paraId="7E19972A">
            <w:pPr>
              <w:pStyle w:val="179"/>
              <w:bidi w:val="0"/>
              <w:ind w:firstLine="0" w:firstLineChars="0"/>
              <w:rPr>
                <w:rFonts w:hint="eastAsia" w:ascii="宋体" w:hAnsi="Times New Roman" w:eastAsia="宋体" w:cs="Times New Roman"/>
                <w:sz w:val="18"/>
                <w:lang w:val="en-US" w:eastAsia="zh-CN" w:bidi="ar-SA"/>
              </w:rPr>
            </w:pPr>
            <w:r>
              <w:rPr>
                <w:rFonts w:hint="eastAsia"/>
                <w:lang w:val="en-US" w:eastAsia="zh-CN"/>
              </w:rPr>
              <w:t>工频磁场抗扰度试验</w:t>
            </w:r>
          </w:p>
        </w:tc>
        <w:tc>
          <w:tcPr>
            <w:tcW w:w="1098" w:type="pct"/>
          </w:tcPr>
          <w:p w14:paraId="2BCC63CB">
            <w:pPr>
              <w:pStyle w:val="179"/>
              <w:bidi w:val="0"/>
              <w:rPr>
                <w:rFonts w:hint="default"/>
                <w:lang w:val="en-US" w:eastAsia="zh-CN"/>
              </w:rPr>
            </w:pPr>
            <w:r>
              <w:rPr>
                <w:rFonts w:hint="eastAsia"/>
                <w:lang w:val="en-US" w:eastAsia="zh-CN"/>
              </w:rPr>
              <w:t>6.5.6</w:t>
            </w:r>
          </w:p>
        </w:tc>
        <w:tc>
          <w:tcPr>
            <w:tcW w:w="1098" w:type="pct"/>
          </w:tcPr>
          <w:p w14:paraId="256C979D">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64DF709D">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3347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shd w:val="clear" w:color="auto" w:fill="auto"/>
            <w:vAlign w:val="top"/>
          </w:tcPr>
          <w:p w14:paraId="2BF1257E">
            <w:pPr>
              <w:pStyle w:val="179"/>
              <w:bidi w:val="0"/>
              <w:ind w:firstLine="0" w:firstLineChars="0"/>
              <w:rPr>
                <w:rFonts w:hint="eastAsia" w:ascii="宋体" w:hAnsi="Times New Roman" w:eastAsia="宋体" w:cs="Times New Roman"/>
                <w:sz w:val="18"/>
                <w:lang w:val="en-US" w:eastAsia="zh-CN" w:bidi="ar-SA"/>
              </w:rPr>
            </w:pPr>
            <w:r>
              <w:rPr>
                <w:rFonts w:hint="eastAsia"/>
                <w:lang w:val="en-US" w:eastAsia="zh-CN"/>
              </w:rPr>
              <w:t>辐射发射骚扰试验</w:t>
            </w:r>
          </w:p>
        </w:tc>
        <w:tc>
          <w:tcPr>
            <w:tcW w:w="1098" w:type="pct"/>
          </w:tcPr>
          <w:p w14:paraId="20672913">
            <w:pPr>
              <w:pStyle w:val="179"/>
              <w:bidi w:val="0"/>
              <w:rPr>
                <w:rFonts w:hint="default"/>
                <w:lang w:val="en-US" w:eastAsia="zh-CN"/>
              </w:rPr>
            </w:pPr>
            <w:r>
              <w:rPr>
                <w:rFonts w:hint="eastAsia"/>
                <w:lang w:val="en-US" w:eastAsia="zh-CN"/>
              </w:rPr>
              <w:t>6.5.7</w:t>
            </w:r>
          </w:p>
        </w:tc>
        <w:tc>
          <w:tcPr>
            <w:tcW w:w="1098" w:type="pct"/>
          </w:tcPr>
          <w:p w14:paraId="746CB865">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5A3260CE">
            <w:pPr>
              <w:pStyle w:val="179"/>
              <w:bidi w:val="0"/>
              <w:ind w:firstLine="0" w:firstLineChars="0"/>
              <w:rPr>
                <w:rFonts w:ascii="宋体" w:hAnsi="Times New Roman" w:eastAsia="宋体" w:cs="Times New Roman"/>
              </w:rPr>
            </w:pPr>
            <w:r>
              <w:rPr>
                <w:rFonts w:ascii="宋体" w:hAnsi="Times New Roman" w:eastAsia="宋体" w:cs="Times New Roman"/>
              </w:rPr>
              <w:t>√</w:t>
            </w:r>
          </w:p>
        </w:tc>
      </w:tr>
      <w:tr w14:paraId="3F8E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pct"/>
          </w:tcPr>
          <w:p w14:paraId="6BA80CAC">
            <w:pPr>
              <w:pStyle w:val="179"/>
              <w:bidi w:val="0"/>
              <w:rPr>
                <w:rFonts w:hint="eastAsia"/>
                <w:lang w:val="en-US" w:eastAsia="zh-CN"/>
              </w:rPr>
            </w:pPr>
            <w:r>
              <w:rPr>
                <w:rFonts w:hint="eastAsia"/>
                <w:lang w:val="en-US" w:eastAsia="zh-CN"/>
              </w:rPr>
              <w:t>传导骚扰试验</w:t>
            </w:r>
          </w:p>
        </w:tc>
        <w:tc>
          <w:tcPr>
            <w:tcW w:w="1098" w:type="pct"/>
          </w:tcPr>
          <w:p w14:paraId="382CB9E7">
            <w:pPr>
              <w:pStyle w:val="179"/>
              <w:bidi w:val="0"/>
              <w:rPr>
                <w:rFonts w:hint="default"/>
                <w:lang w:val="en-US" w:eastAsia="zh-CN"/>
              </w:rPr>
            </w:pPr>
            <w:r>
              <w:rPr>
                <w:rFonts w:hint="eastAsia"/>
                <w:lang w:val="en-US" w:eastAsia="zh-CN"/>
              </w:rPr>
              <w:t>6.5.8</w:t>
            </w:r>
          </w:p>
        </w:tc>
        <w:tc>
          <w:tcPr>
            <w:tcW w:w="1098" w:type="pct"/>
          </w:tcPr>
          <w:p w14:paraId="1DA7E0C8">
            <w:pPr>
              <w:pStyle w:val="179"/>
              <w:bidi w:val="0"/>
              <w:rPr>
                <w:rFonts w:hint="default" w:ascii="宋体" w:hAnsi="Times New Roman" w:eastAsia="宋体" w:cs="Times New Roman"/>
                <w:lang w:val="en-US" w:eastAsia="zh-CN"/>
              </w:rPr>
            </w:pPr>
            <w:r>
              <w:rPr>
                <w:rFonts w:hint="eastAsia" w:ascii="宋体" w:hAnsi="Times New Roman" w:eastAsia="宋体" w:cs="Times New Roman"/>
                <w:lang w:val="en-US" w:eastAsia="zh-CN"/>
              </w:rPr>
              <w:t>-</w:t>
            </w:r>
          </w:p>
        </w:tc>
        <w:tc>
          <w:tcPr>
            <w:tcW w:w="1098" w:type="pct"/>
            <w:shd w:val="clear" w:color="auto" w:fill="auto"/>
            <w:vAlign w:val="top"/>
          </w:tcPr>
          <w:p w14:paraId="2A6A832D">
            <w:pPr>
              <w:pStyle w:val="179"/>
              <w:bidi w:val="0"/>
              <w:ind w:firstLine="0" w:firstLineChars="0"/>
              <w:rPr>
                <w:rFonts w:ascii="宋体" w:hAnsi="Times New Roman" w:eastAsia="宋体" w:cs="Times New Roman"/>
              </w:rPr>
            </w:pPr>
            <w:r>
              <w:rPr>
                <w:rFonts w:ascii="宋体" w:hAnsi="Times New Roman" w:eastAsia="宋体" w:cs="Times New Roman"/>
              </w:rPr>
              <w:t>√</w:t>
            </w:r>
          </w:p>
        </w:tc>
      </w:tr>
    </w:tbl>
    <w:p w14:paraId="7E45BD9A">
      <w:pPr>
        <w:pStyle w:val="106"/>
        <w:bidi w:val="0"/>
        <w:rPr>
          <w:rFonts w:hint="eastAsia"/>
          <w:lang w:val="en-US" w:eastAsia="zh-CN"/>
        </w:rPr>
      </w:pPr>
      <w:bookmarkStart w:id="97" w:name="_Toc12814"/>
      <w:r>
        <w:rPr>
          <w:rFonts w:hint="eastAsia"/>
          <w:lang w:val="en-US" w:eastAsia="zh-CN"/>
        </w:rPr>
        <w:t>抽样与判定</w:t>
      </w:r>
      <w:bookmarkEnd w:id="97"/>
    </w:p>
    <w:p w14:paraId="30DD7EBE">
      <w:pPr>
        <w:pStyle w:val="57"/>
        <w:rPr>
          <w:rFonts w:hint="eastAsia"/>
          <w:lang w:val="en-US" w:eastAsia="zh-CN"/>
        </w:rPr>
      </w:pPr>
      <w:r>
        <w:rPr>
          <w:rFonts w:hint="eastAsia"/>
          <w:lang w:val="en-US" w:eastAsia="zh-CN"/>
        </w:rPr>
        <w:t>从同一批次产品中随机抽取1台进行检验，所有项目均合格则判定型式检验合格；若有不合格项，允许加倍抽样复检，复检全部合格则判定合格，否则判定不合格。</w:t>
      </w:r>
    </w:p>
    <w:p w14:paraId="0D5DF0C7">
      <w:pPr>
        <w:pStyle w:val="105"/>
        <w:bidi w:val="0"/>
        <w:ind w:left="0" w:leftChars="0" w:firstLine="0" w:firstLineChars="0"/>
        <w:rPr>
          <w:rFonts w:hint="eastAsia"/>
          <w:lang w:val="en-US" w:eastAsia="zh-CN"/>
        </w:rPr>
      </w:pPr>
      <w:bookmarkStart w:id="98" w:name="_Toc19238"/>
      <w:r>
        <w:rPr>
          <w:rFonts w:hint="eastAsia"/>
          <w:lang w:val="en-US" w:eastAsia="zh-CN"/>
        </w:rPr>
        <w:t>标志、包装、运输和贮存</w:t>
      </w:r>
      <w:bookmarkEnd w:id="98"/>
    </w:p>
    <w:p w14:paraId="15013C87">
      <w:pPr>
        <w:pStyle w:val="106"/>
        <w:bidi w:val="0"/>
        <w:rPr>
          <w:rFonts w:hint="eastAsia"/>
          <w:lang w:val="en-US" w:eastAsia="zh-CN"/>
        </w:rPr>
      </w:pPr>
      <w:bookmarkStart w:id="99" w:name="_Toc20824"/>
      <w:r>
        <w:rPr>
          <w:rFonts w:hint="eastAsia"/>
          <w:lang w:val="en-US" w:eastAsia="zh-CN"/>
        </w:rPr>
        <w:t>标志</w:t>
      </w:r>
      <w:bookmarkEnd w:id="99"/>
    </w:p>
    <w:p w14:paraId="6052519C">
      <w:pPr>
        <w:pStyle w:val="57"/>
      </w:pPr>
      <w:r>
        <w:rPr>
          <w:rFonts w:hint="eastAsia"/>
        </w:rPr>
        <w:t>产品</w:t>
      </w:r>
      <w:r>
        <w:t>外包装上应有明显的标志，标志</w:t>
      </w:r>
      <w:r>
        <w:rPr>
          <w:rFonts w:hint="eastAsia"/>
        </w:rPr>
        <w:t>应</w:t>
      </w:r>
      <w:r>
        <w:t>包含</w:t>
      </w:r>
      <w:r>
        <w:rPr>
          <w:rFonts w:hint="eastAsia"/>
        </w:rPr>
        <w:t>下列</w:t>
      </w:r>
      <w:r>
        <w:t>内容</w:t>
      </w:r>
      <w:r>
        <w:rPr>
          <w:rFonts w:hint="eastAsia"/>
        </w:rPr>
        <w:t>：</w:t>
      </w:r>
    </w:p>
    <w:p w14:paraId="5111C03D">
      <w:pPr>
        <w:pStyle w:val="175"/>
        <w:numPr>
          <w:ilvl w:val="0"/>
          <w:numId w:val="37"/>
        </w:numPr>
      </w:pPr>
      <w:r>
        <w:rPr>
          <w:rFonts w:hint="eastAsia"/>
        </w:rPr>
        <w:t>产品名称及商标；</w:t>
      </w:r>
    </w:p>
    <w:p w14:paraId="3108B396">
      <w:pPr>
        <w:pStyle w:val="175"/>
        <w:numPr>
          <w:ilvl w:val="0"/>
          <w:numId w:val="37"/>
        </w:numPr>
      </w:pPr>
      <w:r>
        <w:rPr>
          <w:rFonts w:hint="eastAsia"/>
        </w:rPr>
        <w:t>生产商名称</w:t>
      </w:r>
      <w:r>
        <w:rPr>
          <w:rFonts w:hint="eastAsia"/>
          <w:lang w:eastAsia="zh-CN"/>
        </w:rPr>
        <w:t>、</w:t>
      </w:r>
      <w:r>
        <w:rPr>
          <w:rFonts w:hint="eastAsia"/>
          <w:lang w:val="en-US" w:eastAsia="zh-CN"/>
        </w:rPr>
        <w:t>地址、联系方式</w:t>
      </w:r>
      <w:r>
        <w:rPr>
          <w:rFonts w:hint="eastAsia"/>
        </w:rPr>
        <w:t>；</w:t>
      </w:r>
    </w:p>
    <w:p w14:paraId="4F20122D">
      <w:pPr>
        <w:pStyle w:val="175"/>
        <w:numPr>
          <w:ilvl w:val="0"/>
          <w:numId w:val="37"/>
        </w:numPr>
        <w:rPr>
          <w:rFonts w:hint="eastAsia"/>
        </w:rPr>
      </w:pPr>
      <w:r>
        <w:rPr>
          <w:rFonts w:hint="eastAsia"/>
        </w:rPr>
        <w:t>外形尺寸、重量</w:t>
      </w:r>
      <w:r>
        <w:rPr>
          <w:rFonts w:hint="eastAsia"/>
          <w:lang w:eastAsia="zh-CN"/>
        </w:rPr>
        <w:t>；</w:t>
      </w:r>
    </w:p>
    <w:p w14:paraId="449E3F47">
      <w:pPr>
        <w:pStyle w:val="175"/>
        <w:numPr>
          <w:ilvl w:val="0"/>
          <w:numId w:val="37"/>
        </w:numPr>
        <w:rPr>
          <w:rFonts w:hint="eastAsia"/>
        </w:rPr>
      </w:pPr>
      <w:r>
        <w:rPr>
          <w:rFonts w:hint="eastAsia"/>
          <w:lang w:val="en-US" w:eastAsia="zh-CN"/>
        </w:rPr>
        <w:t>产品的主要技术参数；</w:t>
      </w:r>
    </w:p>
    <w:p w14:paraId="35DE49A6">
      <w:pPr>
        <w:pStyle w:val="175"/>
        <w:numPr>
          <w:ilvl w:val="0"/>
          <w:numId w:val="37"/>
        </w:numPr>
      </w:pPr>
      <w:r>
        <w:rPr>
          <w:rFonts w:hint="eastAsia"/>
        </w:rPr>
        <w:t>执行产品标准编号；</w:t>
      </w:r>
    </w:p>
    <w:p w14:paraId="2BBC3C13">
      <w:pPr>
        <w:pStyle w:val="175"/>
        <w:numPr>
          <w:ilvl w:val="0"/>
          <w:numId w:val="37"/>
        </w:numPr>
      </w:pPr>
      <w:r>
        <w:rPr>
          <w:rFonts w:hint="eastAsia"/>
        </w:rPr>
        <w:t>生产日期或生产编号</w:t>
      </w:r>
      <w:r>
        <w:rPr>
          <w:rFonts w:hint="eastAsia"/>
          <w:lang w:eastAsia="zh-CN"/>
        </w:rPr>
        <w:t>。</w:t>
      </w:r>
    </w:p>
    <w:p w14:paraId="52AB9AA6">
      <w:pPr>
        <w:pStyle w:val="106"/>
        <w:bidi w:val="0"/>
        <w:rPr>
          <w:rFonts w:hint="eastAsia"/>
          <w:lang w:val="en-US" w:eastAsia="zh-CN"/>
        </w:rPr>
      </w:pPr>
      <w:bookmarkStart w:id="100" w:name="_Toc5565"/>
      <w:r>
        <w:rPr>
          <w:rFonts w:hint="eastAsia"/>
          <w:lang w:val="en-US" w:eastAsia="zh-CN"/>
        </w:rPr>
        <w:t>包装</w:t>
      </w:r>
      <w:bookmarkEnd w:id="100"/>
    </w:p>
    <w:p w14:paraId="443E8EDC">
      <w:pPr>
        <w:pStyle w:val="166"/>
        <w:bidi w:val="0"/>
        <w:rPr>
          <w:rFonts w:hint="eastAsia"/>
          <w:lang w:val="en-US" w:eastAsia="zh-CN"/>
        </w:rPr>
      </w:pPr>
      <w:r>
        <w:rPr>
          <w:rFonts w:hint="eastAsia"/>
          <w:lang w:val="en-US" w:eastAsia="zh-CN"/>
        </w:rPr>
        <w:t>产品包装应符合GB/T 13384的要求，采用防潮、防震、防锈包装。</w:t>
      </w:r>
    </w:p>
    <w:p w14:paraId="5719BBD5">
      <w:pPr>
        <w:pStyle w:val="166"/>
        <w:bidi w:val="0"/>
        <w:rPr>
          <w:rFonts w:hint="eastAsia"/>
          <w:lang w:val="en-US" w:eastAsia="zh-CN"/>
        </w:rPr>
      </w:pPr>
      <w:r>
        <w:rPr>
          <w:rFonts w:hint="eastAsia"/>
          <w:lang w:val="en-US" w:eastAsia="zh-CN"/>
        </w:rPr>
        <w:t>包装内应至少随带以下文件：</w:t>
      </w:r>
    </w:p>
    <w:p w14:paraId="5DE04533">
      <w:pPr>
        <w:pStyle w:val="175"/>
        <w:numPr>
          <w:ilvl w:val="0"/>
          <w:numId w:val="38"/>
        </w:numPr>
        <w:bidi w:val="0"/>
        <w:rPr>
          <w:rFonts w:hint="eastAsia"/>
          <w:lang w:val="en-US" w:eastAsia="zh-CN"/>
        </w:rPr>
      </w:pPr>
      <w:r>
        <w:rPr>
          <w:rFonts w:hint="eastAsia"/>
          <w:lang w:val="en-US" w:eastAsia="zh-CN"/>
        </w:rPr>
        <w:t>产品合格证书；</w:t>
      </w:r>
    </w:p>
    <w:p w14:paraId="0B4D4855">
      <w:pPr>
        <w:pStyle w:val="175"/>
        <w:numPr>
          <w:ilvl w:val="0"/>
          <w:numId w:val="38"/>
        </w:numPr>
        <w:bidi w:val="0"/>
        <w:rPr>
          <w:rFonts w:hint="eastAsia"/>
          <w:lang w:val="en-US" w:eastAsia="zh-CN"/>
        </w:rPr>
      </w:pPr>
      <w:r>
        <w:rPr>
          <w:rFonts w:hint="eastAsia"/>
          <w:lang w:val="en-US" w:eastAsia="zh-CN"/>
        </w:rPr>
        <w:t>产品使用说明书（含安装、调试、维护指南）；</w:t>
      </w:r>
    </w:p>
    <w:p w14:paraId="105CF44A">
      <w:pPr>
        <w:pStyle w:val="175"/>
        <w:numPr>
          <w:ilvl w:val="0"/>
          <w:numId w:val="38"/>
        </w:numPr>
        <w:bidi w:val="0"/>
        <w:rPr>
          <w:rFonts w:hint="eastAsia"/>
          <w:lang w:val="en-US" w:eastAsia="zh-CN"/>
        </w:rPr>
      </w:pPr>
      <w:r>
        <w:rPr>
          <w:rFonts w:hint="eastAsia"/>
          <w:lang w:val="en-US" w:eastAsia="zh-CN"/>
        </w:rPr>
        <w:t>装箱单；</w:t>
      </w:r>
    </w:p>
    <w:p w14:paraId="02F11BB7">
      <w:pPr>
        <w:pStyle w:val="175"/>
        <w:numPr>
          <w:ilvl w:val="0"/>
          <w:numId w:val="38"/>
        </w:numPr>
        <w:bidi w:val="0"/>
        <w:rPr>
          <w:rFonts w:hint="eastAsia"/>
          <w:lang w:val="en-US" w:eastAsia="zh-CN"/>
        </w:rPr>
      </w:pPr>
      <w:r>
        <w:rPr>
          <w:rFonts w:hint="eastAsia"/>
          <w:lang w:val="en-US" w:eastAsia="zh-CN"/>
        </w:rPr>
        <w:t>备品备件清单；</w:t>
      </w:r>
    </w:p>
    <w:p w14:paraId="1C315A91">
      <w:pPr>
        <w:pStyle w:val="175"/>
        <w:numPr>
          <w:ilvl w:val="0"/>
          <w:numId w:val="38"/>
        </w:numPr>
        <w:bidi w:val="0"/>
        <w:rPr>
          <w:rFonts w:hint="eastAsia"/>
          <w:lang w:val="en-US" w:eastAsia="zh-CN"/>
        </w:rPr>
      </w:pPr>
      <w:r>
        <w:rPr>
          <w:rFonts w:hint="eastAsia"/>
          <w:lang w:val="en-US" w:eastAsia="zh-CN"/>
        </w:rPr>
        <w:t>电气接线图；</w:t>
      </w:r>
    </w:p>
    <w:p w14:paraId="567A600B">
      <w:pPr>
        <w:pStyle w:val="175"/>
        <w:numPr>
          <w:ilvl w:val="0"/>
          <w:numId w:val="38"/>
        </w:numPr>
        <w:bidi w:val="0"/>
        <w:rPr>
          <w:rFonts w:hint="eastAsia"/>
          <w:lang w:val="en-US" w:eastAsia="zh-CN"/>
        </w:rPr>
      </w:pPr>
      <w:r>
        <w:rPr>
          <w:rFonts w:hint="eastAsia"/>
          <w:lang w:val="en-US" w:eastAsia="zh-CN"/>
        </w:rPr>
        <w:t>电气原理图；</w:t>
      </w:r>
    </w:p>
    <w:p w14:paraId="334F0096">
      <w:pPr>
        <w:pStyle w:val="175"/>
        <w:numPr>
          <w:ilvl w:val="0"/>
          <w:numId w:val="38"/>
        </w:numPr>
        <w:bidi w:val="0"/>
        <w:rPr>
          <w:rFonts w:hint="eastAsia"/>
          <w:lang w:val="en-US" w:eastAsia="zh-CN"/>
        </w:rPr>
      </w:pPr>
      <w:r>
        <w:rPr>
          <w:rFonts w:hint="eastAsia"/>
          <w:lang w:val="en-US" w:eastAsia="zh-CN"/>
        </w:rPr>
        <w:t>出厂检验记录；</w:t>
      </w:r>
    </w:p>
    <w:p w14:paraId="4473F850">
      <w:pPr>
        <w:pStyle w:val="175"/>
        <w:numPr>
          <w:ilvl w:val="0"/>
          <w:numId w:val="38"/>
        </w:numPr>
        <w:bidi w:val="0"/>
        <w:rPr>
          <w:rFonts w:hint="eastAsia"/>
          <w:lang w:val="en-US" w:eastAsia="zh-CN"/>
        </w:rPr>
      </w:pPr>
      <w:r>
        <w:rPr>
          <w:rFonts w:hint="eastAsia"/>
          <w:lang w:val="en-US" w:eastAsia="zh-CN"/>
        </w:rPr>
        <w:t>交货明细表；</w:t>
      </w:r>
    </w:p>
    <w:p w14:paraId="7566C5ED">
      <w:pPr>
        <w:pStyle w:val="175"/>
        <w:numPr>
          <w:ilvl w:val="0"/>
          <w:numId w:val="38"/>
        </w:numPr>
        <w:bidi w:val="0"/>
        <w:rPr>
          <w:rFonts w:hint="eastAsia"/>
          <w:lang w:val="en-US" w:eastAsia="zh-CN"/>
        </w:rPr>
      </w:pPr>
      <w:r>
        <w:rPr>
          <w:rFonts w:hint="eastAsia"/>
          <w:lang w:val="en-US" w:eastAsia="zh-CN"/>
        </w:rPr>
        <w:t>保修卡。</w:t>
      </w:r>
    </w:p>
    <w:p w14:paraId="29162645">
      <w:pPr>
        <w:pStyle w:val="106"/>
        <w:bidi w:val="0"/>
        <w:rPr>
          <w:rFonts w:hint="default"/>
          <w:lang w:val="en-US" w:eastAsia="zh-CN"/>
        </w:rPr>
      </w:pPr>
      <w:bookmarkStart w:id="101" w:name="_Toc8524"/>
      <w:r>
        <w:rPr>
          <w:rFonts w:hint="eastAsia"/>
          <w:lang w:val="en-US" w:eastAsia="zh-CN"/>
        </w:rPr>
        <w:t>运输</w:t>
      </w:r>
      <w:bookmarkEnd w:id="101"/>
    </w:p>
    <w:p w14:paraId="16B8DF8C">
      <w:pPr>
        <w:pStyle w:val="166"/>
        <w:bidi w:val="0"/>
        <w:rPr>
          <w:rFonts w:hint="default"/>
          <w:lang w:val="en-US" w:eastAsia="zh-CN"/>
        </w:rPr>
      </w:pPr>
      <w:r>
        <w:rPr>
          <w:rFonts w:hint="default"/>
          <w:lang w:val="en-US" w:eastAsia="zh-CN"/>
        </w:rPr>
        <w:t>运输过程中温度应在-40℃～+70</w:t>
      </w:r>
      <w:r>
        <w:rPr>
          <w:rFonts w:hint="eastAsia"/>
          <w:lang w:val="en-US" w:eastAsia="zh-CN"/>
        </w:rPr>
        <w:t>℃</w:t>
      </w:r>
      <w:r>
        <w:rPr>
          <w:rFonts w:hint="default"/>
          <w:lang w:val="en-US" w:eastAsia="zh-CN"/>
        </w:rPr>
        <w:t>之间，相对湿度不大于90%。应避免剧烈振动、冲击、雨淋、暴晒及腐蚀性气体侵蚀</w:t>
      </w:r>
      <w:r>
        <w:rPr>
          <w:rFonts w:hint="eastAsia"/>
          <w:lang w:val="en-US" w:eastAsia="zh-CN"/>
        </w:rPr>
        <w:t>。</w:t>
      </w:r>
    </w:p>
    <w:p w14:paraId="18326289">
      <w:pPr>
        <w:pStyle w:val="166"/>
        <w:bidi w:val="0"/>
        <w:rPr>
          <w:rFonts w:hint="default"/>
          <w:lang w:val="en-US" w:eastAsia="zh-CN"/>
        </w:rPr>
      </w:pPr>
      <w:r>
        <w:rPr>
          <w:rFonts w:hint="default"/>
          <w:lang w:val="en-US" w:eastAsia="zh-CN"/>
        </w:rPr>
        <w:t>运输工具应具备相应的承载能力，装卸时应使用专用吊具，避免损伤设备。</w:t>
      </w:r>
    </w:p>
    <w:p w14:paraId="26751234">
      <w:pPr>
        <w:pStyle w:val="106"/>
        <w:bidi w:val="0"/>
        <w:ind w:left="0" w:leftChars="0" w:firstLine="0" w:firstLineChars="0"/>
        <w:rPr>
          <w:rFonts w:hint="default"/>
          <w:lang w:val="en-US" w:eastAsia="zh-CN"/>
        </w:rPr>
      </w:pPr>
      <w:bookmarkStart w:id="102" w:name="_Toc7000"/>
      <w:r>
        <w:rPr>
          <w:rFonts w:hint="eastAsia"/>
          <w:lang w:val="en-US" w:eastAsia="zh-CN"/>
        </w:rPr>
        <w:t>贮存</w:t>
      </w:r>
      <w:bookmarkEnd w:id="102"/>
    </w:p>
    <w:p w14:paraId="63E2FDF6">
      <w:pPr>
        <w:pStyle w:val="166"/>
        <w:bidi w:val="0"/>
        <w:rPr>
          <w:rFonts w:hint="default"/>
          <w:lang w:val="en-US" w:eastAsia="zh-CN"/>
        </w:rPr>
      </w:pPr>
      <w:r>
        <w:rPr>
          <w:rFonts w:hint="eastAsia"/>
          <w:lang w:val="en-US" w:eastAsia="zh-CN"/>
        </w:rPr>
        <w:t>设备应贮存在温度为-40℃～+70℃，相对湿度不大于90%的环境中。</w:t>
      </w:r>
    </w:p>
    <w:p w14:paraId="1F916D1F">
      <w:pPr>
        <w:pStyle w:val="166"/>
        <w:bidi w:val="0"/>
        <w:rPr>
          <w:rFonts w:hint="default"/>
          <w:lang w:val="en-US" w:eastAsia="zh-CN"/>
        </w:rPr>
      </w:pPr>
      <w:r>
        <w:rPr>
          <w:rFonts w:hint="default"/>
          <w:lang w:val="en-US" w:eastAsia="zh-CN"/>
        </w:rPr>
        <w:t>设备应贮存在通风、干燥、清洁、无腐蚀性气体的库房内，远离火源、热源</w:t>
      </w:r>
      <w:r>
        <w:rPr>
          <w:rFonts w:hint="eastAsia"/>
          <w:lang w:val="en-US" w:eastAsia="zh-CN"/>
        </w:rPr>
        <w:t>。</w:t>
      </w:r>
    </w:p>
    <w:p w14:paraId="0BB021BF">
      <w:pPr>
        <w:pStyle w:val="166"/>
        <w:bidi w:val="0"/>
        <w:rPr>
          <w:rFonts w:hint="default"/>
          <w:lang w:val="en-US" w:eastAsia="zh-CN"/>
        </w:rPr>
      </w:pPr>
      <w:r>
        <w:rPr>
          <w:rFonts w:hint="default"/>
          <w:lang w:val="en-US" w:eastAsia="zh-CN"/>
        </w:rPr>
        <w:t>贮存期间应定期检查包装完整性及防潮情况，长期存放时应按产品技术条件进行维护。</w:t>
      </w:r>
    </w:p>
    <w:p w14:paraId="4894CD2F">
      <w:pPr>
        <w:pStyle w:val="57"/>
        <w:ind w:firstLine="0" w:firstLineChars="0"/>
        <w:jc w:val="center"/>
      </w:pPr>
      <w:r>
        <w:rPr>
          <w:rFonts w:hint="eastAsia"/>
        </w:rPr>
        <w:drawing>
          <wp:inline distT="0" distB="0" distL="0" distR="0">
            <wp:extent cx="1485900" cy="317500"/>
            <wp:effectExtent l="0" t="0" r="0" b="6350"/>
            <wp:docPr id="483987276" name="图片 3"/>
            <wp:cNvGraphicFramePr/>
            <a:graphic xmlns:a="http://schemas.openxmlformats.org/drawingml/2006/main">
              <a:graphicData uri="http://schemas.openxmlformats.org/drawingml/2006/picture">
                <pic:pic xmlns:pic="http://schemas.openxmlformats.org/drawingml/2006/picture">
                  <pic:nvPicPr>
                    <pic:cNvPr id="483987276"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155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96E9">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AD6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BAB2">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ADB2">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D5F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9A4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8C6F">
    <w:pPr>
      <w:pStyle w:val="62"/>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4587">
    <w:pPr>
      <w:pStyle w:val="19"/>
      <w:jc w:val="right"/>
    </w:pPr>
    <w:r>
      <w:fldChar w:fldCharType="begin"/>
    </w:r>
    <w:r>
      <w:instrText xml:space="preserve"> STYLEREF  标准文件_文件编号  \* MERGEFORMAT </w:instrText>
    </w:r>
    <w:r>
      <w:fldChar w:fldCharType="separate"/>
    </w:r>
    <w:r>
      <w:t>T/CEATEC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FC"/>
    <w:rsid w:val="0000040A"/>
    <w:rsid w:val="00000A94"/>
    <w:rsid w:val="00001972"/>
    <w:rsid w:val="00001D9A"/>
    <w:rsid w:val="00003B4A"/>
    <w:rsid w:val="000062E6"/>
    <w:rsid w:val="00006F2E"/>
    <w:rsid w:val="00007B3A"/>
    <w:rsid w:val="000107E0"/>
    <w:rsid w:val="00011FDE"/>
    <w:rsid w:val="00012FFD"/>
    <w:rsid w:val="00014162"/>
    <w:rsid w:val="00014340"/>
    <w:rsid w:val="00016A9C"/>
    <w:rsid w:val="00022184"/>
    <w:rsid w:val="00022762"/>
    <w:rsid w:val="000238E0"/>
    <w:rsid w:val="000249DB"/>
    <w:rsid w:val="00024C98"/>
    <w:rsid w:val="0002586F"/>
    <w:rsid w:val="0002595E"/>
    <w:rsid w:val="000262D9"/>
    <w:rsid w:val="000267A5"/>
    <w:rsid w:val="00026D2E"/>
    <w:rsid w:val="000303C3"/>
    <w:rsid w:val="000304E5"/>
    <w:rsid w:val="000331D3"/>
    <w:rsid w:val="00033ECF"/>
    <w:rsid w:val="000346A5"/>
    <w:rsid w:val="000359C3"/>
    <w:rsid w:val="00035A7D"/>
    <w:rsid w:val="000365ED"/>
    <w:rsid w:val="00041E17"/>
    <w:rsid w:val="0004249A"/>
    <w:rsid w:val="00043282"/>
    <w:rsid w:val="00044286"/>
    <w:rsid w:val="00044A67"/>
    <w:rsid w:val="00047F28"/>
    <w:rsid w:val="000503AA"/>
    <w:rsid w:val="000506A1"/>
    <w:rsid w:val="000515DD"/>
    <w:rsid w:val="00051AEA"/>
    <w:rsid w:val="0005265A"/>
    <w:rsid w:val="000539DD"/>
    <w:rsid w:val="00053BD3"/>
    <w:rsid w:val="000556ED"/>
    <w:rsid w:val="00055FE2"/>
    <w:rsid w:val="0005616F"/>
    <w:rsid w:val="000573F8"/>
    <w:rsid w:val="00060C2E"/>
    <w:rsid w:val="00061033"/>
    <w:rsid w:val="000619E9"/>
    <w:rsid w:val="000622D4"/>
    <w:rsid w:val="0006357D"/>
    <w:rsid w:val="00067F1E"/>
    <w:rsid w:val="00070BF7"/>
    <w:rsid w:val="00071CC0"/>
    <w:rsid w:val="00071CFC"/>
    <w:rsid w:val="00073C8C"/>
    <w:rsid w:val="00075D0F"/>
    <w:rsid w:val="000761F4"/>
    <w:rsid w:val="00076BD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F4B"/>
    <w:rsid w:val="000A0B60"/>
    <w:rsid w:val="000A0EB8"/>
    <w:rsid w:val="000A19FC"/>
    <w:rsid w:val="000A1CB6"/>
    <w:rsid w:val="000A2433"/>
    <w:rsid w:val="000A296B"/>
    <w:rsid w:val="000A59A8"/>
    <w:rsid w:val="000A7311"/>
    <w:rsid w:val="000B060F"/>
    <w:rsid w:val="000B1592"/>
    <w:rsid w:val="000B1FF2"/>
    <w:rsid w:val="000B3CDA"/>
    <w:rsid w:val="000B5C5F"/>
    <w:rsid w:val="000B6A0B"/>
    <w:rsid w:val="000C0F6C"/>
    <w:rsid w:val="000C11DB"/>
    <w:rsid w:val="000C1492"/>
    <w:rsid w:val="000C15DD"/>
    <w:rsid w:val="000C2F93"/>
    <w:rsid w:val="000C2FBD"/>
    <w:rsid w:val="000C4B41"/>
    <w:rsid w:val="000C57D6"/>
    <w:rsid w:val="000C6362"/>
    <w:rsid w:val="000C7666"/>
    <w:rsid w:val="000D0A9C"/>
    <w:rsid w:val="000D1795"/>
    <w:rsid w:val="000D329A"/>
    <w:rsid w:val="000D4B9C"/>
    <w:rsid w:val="000D4EB6"/>
    <w:rsid w:val="000D6C99"/>
    <w:rsid w:val="000D753B"/>
    <w:rsid w:val="000E4C9E"/>
    <w:rsid w:val="000E6FD7"/>
    <w:rsid w:val="000E7144"/>
    <w:rsid w:val="000F06E1"/>
    <w:rsid w:val="000F0E3C"/>
    <w:rsid w:val="000F19D5"/>
    <w:rsid w:val="000F4050"/>
    <w:rsid w:val="000F47D2"/>
    <w:rsid w:val="000F4AEA"/>
    <w:rsid w:val="000F67E9"/>
    <w:rsid w:val="00101F6E"/>
    <w:rsid w:val="00102336"/>
    <w:rsid w:val="00102F9B"/>
    <w:rsid w:val="00104926"/>
    <w:rsid w:val="00106987"/>
    <w:rsid w:val="00113B1E"/>
    <w:rsid w:val="00115B98"/>
    <w:rsid w:val="0011711C"/>
    <w:rsid w:val="001236B2"/>
    <w:rsid w:val="00124E4F"/>
    <w:rsid w:val="001260B7"/>
    <w:rsid w:val="001265CB"/>
    <w:rsid w:val="001321C6"/>
    <w:rsid w:val="001325C4"/>
    <w:rsid w:val="00133010"/>
    <w:rsid w:val="001338EE"/>
    <w:rsid w:val="00133AAE"/>
    <w:rsid w:val="00135323"/>
    <w:rsid w:val="001356C4"/>
    <w:rsid w:val="00137565"/>
    <w:rsid w:val="001410D6"/>
    <w:rsid w:val="00141114"/>
    <w:rsid w:val="00142621"/>
    <w:rsid w:val="00142969"/>
    <w:rsid w:val="001446C2"/>
    <w:rsid w:val="001457E7"/>
    <w:rsid w:val="00145960"/>
    <w:rsid w:val="00145CB0"/>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98"/>
    <w:rsid w:val="001708E9"/>
    <w:rsid w:val="0017340B"/>
    <w:rsid w:val="00173FB1"/>
    <w:rsid w:val="00175765"/>
    <w:rsid w:val="00176DFD"/>
    <w:rsid w:val="001852C9"/>
    <w:rsid w:val="00187A0B"/>
    <w:rsid w:val="00190087"/>
    <w:rsid w:val="001913C4"/>
    <w:rsid w:val="0019348F"/>
    <w:rsid w:val="00193A07"/>
    <w:rsid w:val="00194064"/>
    <w:rsid w:val="0019484F"/>
    <w:rsid w:val="00194C95"/>
    <w:rsid w:val="00195C34"/>
    <w:rsid w:val="00196EF5"/>
    <w:rsid w:val="001A13B8"/>
    <w:rsid w:val="001A1A53"/>
    <w:rsid w:val="001A234A"/>
    <w:rsid w:val="001A4CF3"/>
    <w:rsid w:val="001A6696"/>
    <w:rsid w:val="001B06E8"/>
    <w:rsid w:val="001B0E48"/>
    <w:rsid w:val="001B61CC"/>
    <w:rsid w:val="001B71D0"/>
    <w:rsid w:val="001B71EE"/>
    <w:rsid w:val="001B7976"/>
    <w:rsid w:val="001C04A8"/>
    <w:rsid w:val="001C2C03"/>
    <w:rsid w:val="001C42F7"/>
    <w:rsid w:val="001C49E5"/>
    <w:rsid w:val="001C5DC1"/>
    <w:rsid w:val="001C680C"/>
    <w:rsid w:val="001C7FEA"/>
    <w:rsid w:val="001D0499"/>
    <w:rsid w:val="001D0BBE"/>
    <w:rsid w:val="001D0ED4"/>
    <w:rsid w:val="001D212F"/>
    <w:rsid w:val="001D29D7"/>
    <w:rsid w:val="001D2DE7"/>
    <w:rsid w:val="001D2F63"/>
    <w:rsid w:val="001D3119"/>
    <w:rsid w:val="001D411C"/>
    <w:rsid w:val="001D429C"/>
    <w:rsid w:val="001D50AE"/>
    <w:rsid w:val="001E19BB"/>
    <w:rsid w:val="001E1B6A"/>
    <w:rsid w:val="001E2484"/>
    <w:rsid w:val="001E3CC4"/>
    <w:rsid w:val="001E4882"/>
    <w:rsid w:val="001E73AB"/>
    <w:rsid w:val="001F092D"/>
    <w:rsid w:val="001F143A"/>
    <w:rsid w:val="001F1605"/>
    <w:rsid w:val="001F2508"/>
    <w:rsid w:val="001F292A"/>
    <w:rsid w:val="001F4816"/>
    <w:rsid w:val="001F54B3"/>
    <w:rsid w:val="001F69B4"/>
    <w:rsid w:val="001F77C7"/>
    <w:rsid w:val="00200183"/>
    <w:rsid w:val="00200333"/>
    <w:rsid w:val="0020107D"/>
    <w:rsid w:val="00202AA4"/>
    <w:rsid w:val="002031F7"/>
    <w:rsid w:val="002040E6"/>
    <w:rsid w:val="0020527B"/>
    <w:rsid w:val="00205F2C"/>
    <w:rsid w:val="00210B15"/>
    <w:rsid w:val="002142EA"/>
    <w:rsid w:val="0021504C"/>
    <w:rsid w:val="00215ADD"/>
    <w:rsid w:val="002169B5"/>
    <w:rsid w:val="00216A15"/>
    <w:rsid w:val="00217398"/>
    <w:rsid w:val="002204BB"/>
    <w:rsid w:val="00221B79"/>
    <w:rsid w:val="00221C6B"/>
    <w:rsid w:val="002253A1"/>
    <w:rsid w:val="0022591B"/>
    <w:rsid w:val="00225CF8"/>
    <w:rsid w:val="0022794E"/>
    <w:rsid w:val="00227D9F"/>
    <w:rsid w:val="002304B6"/>
    <w:rsid w:val="00233D64"/>
    <w:rsid w:val="0023482A"/>
    <w:rsid w:val="002359CB"/>
    <w:rsid w:val="00236DB8"/>
    <w:rsid w:val="00240458"/>
    <w:rsid w:val="002430DE"/>
    <w:rsid w:val="00243540"/>
    <w:rsid w:val="0024497B"/>
    <w:rsid w:val="00244F4A"/>
    <w:rsid w:val="0024515B"/>
    <w:rsid w:val="00246021"/>
    <w:rsid w:val="0024666E"/>
    <w:rsid w:val="00247F52"/>
    <w:rsid w:val="00250B25"/>
    <w:rsid w:val="00250BBE"/>
    <w:rsid w:val="002515C2"/>
    <w:rsid w:val="0025194F"/>
    <w:rsid w:val="002562D7"/>
    <w:rsid w:val="002611EE"/>
    <w:rsid w:val="0026148A"/>
    <w:rsid w:val="00262696"/>
    <w:rsid w:val="00263D25"/>
    <w:rsid w:val="002643C3"/>
    <w:rsid w:val="00264A0C"/>
    <w:rsid w:val="00266EEB"/>
    <w:rsid w:val="00267EF4"/>
    <w:rsid w:val="00270CB8"/>
    <w:rsid w:val="00272B08"/>
    <w:rsid w:val="00277035"/>
    <w:rsid w:val="00281BB8"/>
    <w:rsid w:val="00281E9E"/>
    <w:rsid w:val="00282405"/>
    <w:rsid w:val="00283AE5"/>
    <w:rsid w:val="00285170"/>
    <w:rsid w:val="00285361"/>
    <w:rsid w:val="00286E8E"/>
    <w:rsid w:val="00287856"/>
    <w:rsid w:val="00287A7C"/>
    <w:rsid w:val="00292B87"/>
    <w:rsid w:val="00292D60"/>
    <w:rsid w:val="0029338A"/>
    <w:rsid w:val="00293B30"/>
    <w:rsid w:val="00294D34"/>
    <w:rsid w:val="00294E3B"/>
    <w:rsid w:val="00296193"/>
    <w:rsid w:val="002969EC"/>
    <w:rsid w:val="00296C66"/>
    <w:rsid w:val="00296EBE"/>
    <w:rsid w:val="002974E3"/>
    <w:rsid w:val="002A084B"/>
    <w:rsid w:val="002A0C3B"/>
    <w:rsid w:val="002A0F39"/>
    <w:rsid w:val="002A1260"/>
    <w:rsid w:val="002A1589"/>
    <w:rsid w:val="002A1608"/>
    <w:rsid w:val="002A25DC"/>
    <w:rsid w:val="002A337E"/>
    <w:rsid w:val="002A3AAB"/>
    <w:rsid w:val="002A4CEA"/>
    <w:rsid w:val="002A5977"/>
    <w:rsid w:val="002A5A13"/>
    <w:rsid w:val="002A757F"/>
    <w:rsid w:val="002A7F44"/>
    <w:rsid w:val="002B0C40"/>
    <w:rsid w:val="002B1966"/>
    <w:rsid w:val="002B2A67"/>
    <w:rsid w:val="002B4508"/>
    <w:rsid w:val="002B5779"/>
    <w:rsid w:val="002B63D5"/>
    <w:rsid w:val="002B7332"/>
    <w:rsid w:val="002B7F51"/>
    <w:rsid w:val="002C09E7"/>
    <w:rsid w:val="002C1E06"/>
    <w:rsid w:val="002C3F07"/>
    <w:rsid w:val="002C5278"/>
    <w:rsid w:val="002C7EBB"/>
    <w:rsid w:val="002D020A"/>
    <w:rsid w:val="002D06C1"/>
    <w:rsid w:val="002D2BD3"/>
    <w:rsid w:val="002D42B5"/>
    <w:rsid w:val="002D4F1A"/>
    <w:rsid w:val="002D6EC6"/>
    <w:rsid w:val="002D79AC"/>
    <w:rsid w:val="002E039D"/>
    <w:rsid w:val="002E4D5A"/>
    <w:rsid w:val="002E6326"/>
    <w:rsid w:val="002F30E0"/>
    <w:rsid w:val="002F35E4"/>
    <w:rsid w:val="002F3730"/>
    <w:rsid w:val="002F38E1"/>
    <w:rsid w:val="002F7AF6"/>
    <w:rsid w:val="002F7B1D"/>
    <w:rsid w:val="002F7B42"/>
    <w:rsid w:val="002F7D41"/>
    <w:rsid w:val="003002F7"/>
    <w:rsid w:val="00300E63"/>
    <w:rsid w:val="00302251"/>
    <w:rsid w:val="00302F5F"/>
    <w:rsid w:val="0030441D"/>
    <w:rsid w:val="00306063"/>
    <w:rsid w:val="00313B85"/>
    <w:rsid w:val="00317279"/>
    <w:rsid w:val="00317988"/>
    <w:rsid w:val="0032141D"/>
    <w:rsid w:val="003221B4"/>
    <w:rsid w:val="0032258D"/>
    <w:rsid w:val="003226BF"/>
    <w:rsid w:val="00322E62"/>
    <w:rsid w:val="00324D13"/>
    <w:rsid w:val="00324EDD"/>
    <w:rsid w:val="00331640"/>
    <w:rsid w:val="003331E4"/>
    <w:rsid w:val="003337CD"/>
    <w:rsid w:val="00336681"/>
    <w:rsid w:val="00336C64"/>
    <w:rsid w:val="00337162"/>
    <w:rsid w:val="0034194F"/>
    <w:rsid w:val="00344605"/>
    <w:rsid w:val="00345828"/>
    <w:rsid w:val="0034631B"/>
    <w:rsid w:val="003474AA"/>
    <w:rsid w:val="00350D1D"/>
    <w:rsid w:val="00352C83"/>
    <w:rsid w:val="00352F1A"/>
    <w:rsid w:val="0035700C"/>
    <w:rsid w:val="0036107C"/>
    <w:rsid w:val="003615D2"/>
    <w:rsid w:val="003621F0"/>
    <w:rsid w:val="0036429C"/>
    <w:rsid w:val="00364A53"/>
    <w:rsid w:val="003654CB"/>
    <w:rsid w:val="00365AA9"/>
    <w:rsid w:val="00365F86"/>
    <w:rsid w:val="00365F87"/>
    <w:rsid w:val="00366E89"/>
    <w:rsid w:val="003705F4"/>
    <w:rsid w:val="00370D58"/>
    <w:rsid w:val="00371316"/>
    <w:rsid w:val="00374497"/>
    <w:rsid w:val="00376713"/>
    <w:rsid w:val="00376B85"/>
    <w:rsid w:val="00380387"/>
    <w:rsid w:val="00381815"/>
    <w:rsid w:val="003819AF"/>
    <w:rsid w:val="003820E9"/>
    <w:rsid w:val="00382DE7"/>
    <w:rsid w:val="00384FFC"/>
    <w:rsid w:val="00386893"/>
    <w:rsid w:val="003872FC"/>
    <w:rsid w:val="00387ADC"/>
    <w:rsid w:val="00390020"/>
    <w:rsid w:val="003903D6"/>
    <w:rsid w:val="00390EE6"/>
    <w:rsid w:val="0039118F"/>
    <w:rsid w:val="00391E88"/>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A69"/>
    <w:rsid w:val="003D6D61"/>
    <w:rsid w:val="003D71CE"/>
    <w:rsid w:val="003E019F"/>
    <w:rsid w:val="003E091D"/>
    <w:rsid w:val="003E1C53"/>
    <w:rsid w:val="003E2A69"/>
    <w:rsid w:val="003E2D49"/>
    <w:rsid w:val="003E2E34"/>
    <w:rsid w:val="003E2FD4"/>
    <w:rsid w:val="003E49F6"/>
    <w:rsid w:val="003E660F"/>
    <w:rsid w:val="003F0841"/>
    <w:rsid w:val="003F23D3"/>
    <w:rsid w:val="003F3F08"/>
    <w:rsid w:val="003F49F1"/>
    <w:rsid w:val="003F6272"/>
    <w:rsid w:val="00400E72"/>
    <w:rsid w:val="00401400"/>
    <w:rsid w:val="00404869"/>
    <w:rsid w:val="00405884"/>
    <w:rsid w:val="00406B8B"/>
    <w:rsid w:val="00407D39"/>
    <w:rsid w:val="00412D69"/>
    <w:rsid w:val="0041477A"/>
    <w:rsid w:val="004167A3"/>
    <w:rsid w:val="00432D3C"/>
    <w:rsid w:val="00432DAA"/>
    <w:rsid w:val="00433120"/>
    <w:rsid w:val="00434305"/>
    <w:rsid w:val="004358F6"/>
    <w:rsid w:val="00435DF7"/>
    <w:rsid w:val="0043741A"/>
    <w:rsid w:val="0044083F"/>
    <w:rsid w:val="00441AE7"/>
    <w:rsid w:val="00445574"/>
    <w:rsid w:val="004455BD"/>
    <w:rsid w:val="004467FB"/>
    <w:rsid w:val="00452D6B"/>
    <w:rsid w:val="00454484"/>
    <w:rsid w:val="0045517B"/>
    <w:rsid w:val="004552DF"/>
    <w:rsid w:val="00461A2C"/>
    <w:rsid w:val="00463B77"/>
    <w:rsid w:val="00463C7B"/>
    <w:rsid w:val="004644A6"/>
    <w:rsid w:val="004659BD"/>
    <w:rsid w:val="00467532"/>
    <w:rsid w:val="00467641"/>
    <w:rsid w:val="00467BBB"/>
    <w:rsid w:val="00470775"/>
    <w:rsid w:val="004746B1"/>
    <w:rsid w:val="0047583F"/>
    <w:rsid w:val="00475DE8"/>
    <w:rsid w:val="00481C44"/>
    <w:rsid w:val="00482EFE"/>
    <w:rsid w:val="0048336D"/>
    <w:rsid w:val="00483758"/>
    <w:rsid w:val="00484936"/>
    <w:rsid w:val="0048518B"/>
    <w:rsid w:val="0048567E"/>
    <w:rsid w:val="00485C89"/>
    <w:rsid w:val="00486BE3"/>
    <w:rsid w:val="004905E4"/>
    <w:rsid w:val="00490A89"/>
    <w:rsid w:val="00490AB4"/>
    <w:rsid w:val="00492F02"/>
    <w:rsid w:val="004939AE"/>
    <w:rsid w:val="004A12DF"/>
    <w:rsid w:val="004A1BA8"/>
    <w:rsid w:val="004A4037"/>
    <w:rsid w:val="004A4B57"/>
    <w:rsid w:val="004A63FA"/>
    <w:rsid w:val="004A67FC"/>
    <w:rsid w:val="004A6A3D"/>
    <w:rsid w:val="004B0272"/>
    <w:rsid w:val="004B09F9"/>
    <w:rsid w:val="004B0C6E"/>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2A1"/>
    <w:rsid w:val="004D2253"/>
    <w:rsid w:val="004D4406"/>
    <w:rsid w:val="004D7C42"/>
    <w:rsid w:val="004D7F95"/>
    <w:rsid w:val="004E0465"/>
    <w:rsid w:val="004E127B"/>
    <w:rsid w:val="004E1C0A"/>
    <w:rsid w:val="004E24C1"/>
    <w:rsid w:val="004E30C5"/>
    <w:rsid w:val="004E3DA0"/>
    <w:rsid w:val="004E4AA5"/>
    <w:rsid w:val="004E4AEE"/>
    <w:rsid w:val="004E59E3"/>
    <w:rsid w:val="004E67C0"/>
    <w:rsid w:val="004E7FCF"/>
    <w:rsid w:val="004F17BF"/>
    <w:rsid w:val="004F391A"/>
    <w:rsid w:val="004F3CFB"/>
    <w:rsid w:val="004F6456"/>
    <w:rsid w:val="004F696E"/>
    <w:rsid w:val="004F6C71"/>
    <w:rsid w:val="00501139"/>
    <w:rsid w:val="00502E98"/>
    <w:rsid w:val="0050363E"/>
    <w:rsid w:val="005039BC"/>
    <w:rsid w:val="005043BB"/>
    <w:rsid w:val="00504A3D"/>
    <w:rsid w:val="0050561D"/>
    <w:rsid w:val="00505767"/>
    <w:rsid w:val="005073F0"/>
    <w:rsid w:val="00510A7B"/>
    <w:rsid w:val="00511068"/>
    <w:rsid w:val="00512F6E"/>
    <w:rsid w:val="00513038"/>
    <w:rsid w:val="00514174"/>
    <w:rsid w:val="00516088"/>
    <w:rsid w:val="00516B0B"/>
    <w:rsid w:val="005220EC"/>
    <w:rsid w:val="00523F95"/>
    <w:rsid w:val="00524D65"/>
    <w:rsid w:val="00524F58"/>
    <w:rsid w:val="00525B16"/>
    <w:rsid w:val="00531A6F"/>
    <w:rsid w:val="0053203D"/>
    <w:rsid w:val="00533D04"/>
    <w:rsid w:val="00534804"/>
    <w:rsid w:val="00534BDF"/>
    <w:rsid w:val="005354EA"/>
    <w:rsid w:val="0053585F"/>
    <w:rsid w:val="00535EC4"/>
    <w:rsid w:val="00535ED9"/>
    <w:rsid w:val="0053692B"/>
    <w:rsid w:val="00541853"/>
    <w:rsid w:val="00543BDA"/>
    <w:rsid w:val="005441CC"/>
    <w:rsid w:val="005457CC"/>
    <w:rsid w:val="005479DA"/>
    <w:rsid w:val="00547BCC"/>
    <w:rsid w:val="0055013B"/>
    <w:rsid w:val="00551F6F"/>
    <w:rsid w:val="00555044"/>
    <w:rsid w:val="00561475"/>
    <w:rsid w:val="00562308"/>
    <w:rsid w:val="0056487B"/>
    <w:rsid w:val="00564FB9"/>
    <w:rsid w:val="00570D22"/>
    <w:rsid w:val="00573D9E"/>
    <w:rsid w:val="005754E1"/>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2B8"/>
    <w:rsid w:val="005A4A1B"/>
    <w:rsid w:val="005A6334"/>
    <w:rsid w:val="005A7830"/>
    <w:rsid w:val="005A7FCE"/>
    <w:rsid w:val="005B0F3F"/>
    <w:rsid w:val="005B191C"/>
    <w:rsid w:val="005B4903"/>
    <w:rsid w:val="005B51CE"/>
    <w:rsid w:val="005B5885"/>
    <w:rsid w:val="005B5946"/>
    <w:rsid w:val="005B5CD7"/>
    <w:rsid w:val="005B6CF6"/>
    <w:rsid w:val="005B7422"/>
    <w:rsid w:val="005C29B8"/>
    <w:rsid w:val="005C5F21"/>
    <w:rsid w:val="005C7156"/>
    <w:rsid w:val="005D0C75"/>
    <w:rsid w:val="005D1737"/>
    <w:rsid w:val="005D4171"/>
    <w:rsid w:val="005D6A95"/>
    <w:rsid w:val="005D6B2C"/>
    <w:rsid w:val="005D6D9C"/>
    <w:rsid w:val="005D7189"/>
    <w:rsid w:val="005D7D8C"/>
    <w:rsid w:val="005D7F48"/>
    <w:rsid w:val="005E1218"/>
    <w:rsid w:val="005E2335"/>
    <w:rsid w:val="005E2F57"/>
    <w:rsid w:val="005E34CA"/>
    <w:rsid w:val="005E3C18"/>
    <w:rsid w:val="005E4250"/>
    <w:rsid w:val="005E6812"/>
    <w:rsid w:val="005E7881"/>
    <w:rsid w:val="005E78E0"/>
    <w:rsid w:val="005F0D9C"/>
    <w:rsid w:val="005F25C9"/>
    <w:rsid w:val="005F284E"/>
    <w:rsid w:val="005F43DE"/>
    <w:rsid w:val="005F77D2"/>
    <w:rsid w:val="0060115C"/>
    <w:rsid w:val="006015CE"/>
    <w:rsid w:val="00603D12"/>
    <w:rsid w:val="00604784"/>
    <w:rsid w:val="00606419"/>
    <w:rsid w:val="00607D29"/>
    <w:rsid w:val="006117A2"/>
    <w:rsid w:val="00612952"/>
    <w:rsid w:val="00614CC1"/>
    <w:rsid w:val="00615A9D"/>
    <w:rsid w:val="00617387"/>
    <w:rsid w:val="006205D6"/>
    <w:rsid w:val="006223F1"/>
    <w:rsid w:val="0062368F"/>
    <w:rsid w:val="006252D8"/>
    <w:rsid w:val="006259BC"/>
    <w:rsid w:val="0062636B"/>
    <w:rsid w:val="00630175"/>
    <w:rsid w:val="00632182"/>
    <w:rsid w:val="00632AE0"/>
    <w:rsid w:val="00633C17"/>
    <w:rsid w:val="006345FC"/>
    <w:rsid w:val="00634742"/>
    <w:rsid w:val="00634D9E"/>
    <w:rsid w:val="00636E3E"/>
    <w:rsid w:val="00637692"/>
    <w:rsid w:val="006379F7"/>
    <w:rsid w:val="00637C26"/>
    <w:rsid w:val="00637E4D"/>
    <w:rsid w:val="00640620"/>
    <w:rsid w:val="006418B6"/>
    <w:rsid w:val="00641A1F"/>
    <w:rsid w:val="0064482D"/>
    <w:rsid w:val="00645904"/>
    <w:rsid w:val="00646924"/>
    <w:rsid w:val="0065103D"/>
    <w:rsid w:val="006510C8"/>
    <w:rsid w:val="00651ACB"/>
    <w:rsid w:val="00651C47"/>
    <w:rsid w:val="00652AB2"/>
    <w:rsid w:val="00653FED"/>
    <w:rsid w:val="00654EC0"/>
    <w:rsid w:val="0065525B"/>
    <w:rsid w:val="00655D4F"/>
    <w:rsid w:val="00656D29"/>
    <w:rsid w:val="00657151"/>
    <w:rsid w:val="006571F6"/>
    <w:rsid w:val="00664082"/>
    <w:rsid w:val="006640E5"/>
    <w:rsid w:val="006646F1"/>
    <w:rsid w:val="00664929"/>
    <w:rsid w:val="00664F62"/>
    <w:rsid w:val="006655E1"/>
    <w:rsid w:val="00665804"/>
    <w:rsid w:val="00672060"/>
    <w:rsid w:val="00672BFD"/>
    <w:rsid w:val="00673326"/>
    <w:rsid w:val="0067423B"/>
    <w:rsid w:val="006770F4"/>
    <w:rsid w:val="00677A84"/>
    <w:rsid w:val="0068026D"/>
    <w:rsid w:val="00680A27"/>
    <w:rsid w:val="006816A4"/>
    <w:rsid w:val="006819B8"/>
    <w:rsid w:val="006840A6"/>
    <w:rsid w:val="006850CD"/>
    <w:rsid w:val="00685AAB"/>
    <w:rsid w:val="00693962"/>
    <w:rsid w:val="00694C7C"/>
    <w:rsid w:val="006A07AA"/>
    <w:rsid w:val="006A25E5"/>
    <w:rsid w:val="006A2B46"/>
    <w:rsid w:val="006A336D"/>
    <w:rsid w:val="006A37B9"/>
    <w:rsid w:val="006B2672"/>
    <w:rsid w:val="006B54BF"/>
    <w:rsid w:val="006B5C7B"/>
    <w:rsid w:val="006B5F44"/>
    <w:rsid w:val="006B5F90"/>
    <w:rsid w:val="006B62E4"/>
    <w:rsid w:val="006C1BBA"/>
    <w:rsid w:val="006C2079"/>
    <w:rsid w:val="006C4FBB"/>
    <w:rsid w:val="006C5A62"/>
    <w:rsid w:val="006C5D68"/>
    <w:rsid w:val="006C6976"/>
    <w:rsid w:val="006C6DD0"/>
    <w:rsid w:val="006D04EA"/>
    <w:rsid w:val="006D097C"/>
    <w:rsid w:val="006D16C4"/>
    <w:rsid w:val="006D3E96"/>
    <w:rsid w:val="006D4515"/>
    <w:rsid w:val="006D4BB1"/>
    <w:rsid w:val="006D6593"/>
    <w:rsid w:val="006D7F9B"/>
    <w:rsid w:val="006E237B"/>
    <w:rsid w:val="006E31BD"/>
    <w:rsid w:val="006E41BE"/>
    <w:rsid w:val="006F03A8"/>
    <w:rsid w:val="006F2ACA"/>
    <w:rsid w:val="006F2ADC"/>
    <w:rsid w:val="006F2BFE"/>
    <w:rsid w:val="006F31E9"/>
    <w:rsid w:val="006F6284"/>
    <w:rsid w:val="007002C5"/>
    <w:rsid w:val="00700BCB"/>
    <w:rsid w:val="00700EB0"/>
    <w:rsid w:val="00704387"/>
    <w:rsid w:val="00705C87"/>
    <w:rsid w:val="00707669"/>
    <w:rsid w:val="007110DB"/>
    <w:rsid w:val="00711CBA"/>
    <w:rsid w:val="00711FB5"/>
    <w:rsid w:val="00712A01"/>
    <w:rsid w:val="00714F58"/>
    <w:rsid w:val="007156B2"/>
    <w:rsid w:val="007212C2"/>
    <w:rsid w:val="00722A20"/>
    <w:rsid w:val="00722FBF"/>
    <w:rsid w:val="00722FC2"/>
    <w:rsid w:val="00724E1B"/>
    <w:rsid w:val="00725949"/>
    <w:rsid w:val="00727F44"/>
    <w:rsid w:val="00727FA2"/>
    <w:rsid w:val="007307E9"/>
    <w:rsid w:val="007322D9"/>
    <w:rsid w:val="00732BC0"/>
    <w:rsid w:val="0073720F"/>
    <w:rsid w:val="00737796"/>
    <w:rsid w:val="0074165C"/>
    <w:rsid w:val="00742C35"/>
    <w:rsid w:val="007432CA"/>
    <w:rsid w:val="007439EB"/>
    <w:rsid w:val="00743CB4"/>
    <w:rsid w:val="00743F0A"/>
    <w:rsid w:val="007444E8"/>
    <w:rsid w:val="00745100"/>
    <w:rsid w:val="0074548E"/>
    <w:rsid w:val="00745773"/>
    <w:rsid w:val="00746800"/>
    <w:rsid w:val="007501A8"/>
    <w:rsid w:val="00750D61"/>
    <w:rsid w:val="00750EE1"/>
    <w:rsid w:val="00752B4D"/>
    <w:rsid w:val="00755402"/>
    <w:rsid w:val="00756AED"/>
    <w:rsid w:val="00756B26"/>
    <w:rsid w:val="00756EDF"/>
    <w:rsid w:val="00757BFC"/>
    <w:rsid w:val="007600E3"/>
    <w:rsid w:val="007637C7"/>
    <w:rsid w:val="007655ED"/>
    <w:rsid w:val="00765C43"/>
    <w:rsid w:val="00765EFB"/>
    <w:rsid w:val="00766D44"/>
    <w:rsid w:val="007671CA"/>
    <w:rsid w:val="00767C61"/>
    <w:rsid w:val="0077008A"/>
    <w:rsid w:val="00773C1F"/>
    <w:rsid w:val="00773DE6"/>
    <w:rsid w:val="00774DA4"/>
    <w:rsid w:val="007752D4"/>
    <w:rsid w:val="00776599"/>
    <w:rsid w:val="007801B6"/>
    <w:rsid w:val="0078114B"/>
    <w:rsid w:val="00781DD2"/>
    <w:rsid w:val="00783ECF"/>
    <w:rsid w:val="0078413A"/>
    <w:rsid w:val="00793206"/>
    <w:rsid w:val="007959E8"/>
    <w:rsid w:val="00795E9C"/>
    <w:rsid w:val="007960F4"/>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3CD"/>
    <w:rsid w:val="007C4593"/>
    <w:rsid w:val="007C5309"/>
    <w:rsid w:val="007C6069"/>
    <w:rsid w:val="007C725A"/>
    <w:rsid w:val="007D06C4"/>
    <w:rsid w:val="007D1352"/>
    <w:rsid w:val="007D2508"/>
    <w:rsid w:val="007D346A"/>
    <w:rsid w:val="007D6518"/>
    <w:rsid w:val="007D76BD"/>
    <w:rsid w:val="007E0BF1"/>
    <w:rsid w:val="007E1322"/>
    <w:rsid w:val="007E6A67"/>
    <w:rsid w:val="007F0ED8"/>
    <w:rsid w:val="007F0F63"/>
    <w:rsid w:val="007F3433"/>
    <w:rsid w:val="007F66A7"/>
    <w:rsid w:val="007F75CE"/>
    <w:rsid w:val="008013A4"/>
    <w:rsid w:val="008027CE"/>
    <w:rsid w:val="00802F42"/>
    <w:rsid w:val="00804383"/>
    <w:rsid w:val="00804BB7"/>
    <w:rsid w:val="00804D41"/>
    <w:rsid w:val="00810257"/>
    <w:rsid w:val="008104F5"/>
    <w:rsid w:val="00810B8B"/>
    <w:rsid w:val="00811072"/>
    <w:rsid w:val="00811369"/>
    <w:rsid w:val="00814D7F"/>
    <w:rsid w:val="00815419"/>
    <w:rsid w:val="008163C8"/>
    <w:rsid w:val="008164A1"/>
    <w:rsid w:val="00817325"/>
    <w:rsid w:val="008209E6"/>
    <w:rsid w:val="00821A6C"/>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F53"/>
    <w:rsid w:val="00854D78"/>
    <w:rsid w:val="00856B98"/>
    <w:rsid w:val="008603CE"/>
    <w:rsid w:val="008620FC"/>
    <w:rsid w:val="008627A5"/>
    <w:rsid w:val="00863E05"/>
    <w:rsid w:val="00865ACA"/>
    <w:rsid w:val="00865D28"/>
    <w:rsid w:val="00865F85"/>
    <w:rsid w:val="00867C10"/>
    <w:rsid w:val="00870439"/>
    <w:rsid w:val="00870DA1"/>
    <w:rsid w:val="008743EA"/>
    <w:rsid w:val="00883F93"/>
    <w:rsid w:val="00884DB3"/>
    <w:rsid w:val="008856E8"/>
    <w:rsid w:val="00885A9D"/>
    <w:rsid w:val="008864F6"/>
    <w:rsid w:val="00887072"/>
    <w:rsid w:val="0089049D"/>
    <w:rsid w:val="008928C9"/>
    <w:rsid w:val="008930CB"/>
    <w:rsid w:val="008938DC"/>
    <w:rsid w:val="00893E55"/>
    <w:rsid w:val="00893FD1"/>
    <w:rsid w:val="00894836"/>
    <w:rsid w:val="00895172"/>
    <w:rsid w:val="00895680"/>
    <w:rsid w:val="00896DFF"/>
    <w:rsid w:val="0089762C"/>
    <w:rsid w:val="008A173B"/>
    <w:rsid w:val="008A1893"/>
    <w:rsid w:val="008A57E6"/>
    <w:rsid w:val="008A6F81"/>
    <w:rsid w:val="008A7419"/>
    <w:rsid w:val="008A769A"/>
    <w:rsid w:val="008B0C9C"/>
    <w:rsid w:val="008B166D"/>
    <w:rsid w:val="008B17F4"/>
    <w:rsid w:val="008B3615"/>
    <w:rsid w:val="008B4AC4"/>
    <w:rsid w:val="008B50C8"/>
    <w:rsid w:val="008B5281"/>
    <w:rsid w:val="008B626D"/>
    <w:rsid w:val="008B7E05"/>
    <w:rsid w:val="008C07D7"/>
    <w:rsid w:val="008C1797"/>
    <w:rsid w:val="008C219C"/>
    <w:rsid w:val="008C475E"/>
    <w:rsid w:val="008C619A"/>
    <w:rsid w:val="008C735C"/>
    <w:rsid w:val="008D0CE8"/>
    <w:rsid w:val="008D2D1D"/>
    <w:rsid w:val="008D3CD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4D"/>
    <w:rsid w:val="008F4C29"/>
    <w:rsid w:val="008F70BD"/>
    <w:rsid w:val="008F74A3"/>
    <w:rsid w:val="008F788F"/>
    <w:rsid w:val="008F7EA2"/>
    <w:rsid w:val="00902722"/>
    <w:rsid w:val="009027BC"/>
    <w:rsid w:val="009052E8"/>
    <w:rsid w:val="009062E6"/>
    <w:rsid w:val="00911BE5"/>
    <w:rsid w:val="00913CA9"/>
    <w:rsid w:val="009145AE"/>
    <w:rsid w:val="009146CE"/>
    <w:rsid w:val="00914CA7"/>
    <w:rsid w:val="00915C3E"/>
    <w:rsid w:val="009161A8"/>
    <w:rsid w:val="00923AA6"/>
    <w:rsid w:val="009245AE"/>
    <w:rsid w:val="009245F5"/>
    <w:rsid w:val="009249EC"/>
    <w:rsid w:val="009273B3"/>
    <w:rsid w:val="0093004E"/>
    <w:rsid w:val="009305B5"/>
    <w:rsid w:val="009378DD"/>
    <w:rsid w:val="00941E0E"/>
    <w:rsid w:val="009429D5"/>
    <w:rsid w:val="00942BF1"/>
    <w:rsid w:val="00945180"/>
    <w:rsid w:val="00945428"/>
    <w:rsid w:val="0094607B"/>
    <w:rsid w:val="00953604"/>
    <w:rsid w:val="0095496B"/>
    <w:rsid w:val="0095645E"/>
    <w:rsid w:val="00957E9E"/>
    <w:rsid w:val="00960F1E"/>
    <w:rsid w:val="009610DC"/>
    <w:rsid w:val="00961490"/>
    <w:rsid w:val="0096381A"/>
    <w:rsid w:val="00965866"/>
    <w:rsid w:val="00965E04"/>
    <w:rsid w:val="009674AD"/>
    <w:rsid w:val="00970CDC"/>
    <w:rsid w:val="00973E8D"/>
    <w:rsid w:val="00973F2E"/>
    <w:rsid w:val="009740DB"/>
    <w:rsid w:val="00975727"/>
    <w:rsid w:val="00977010"/>
    <w:rsid w:val="00977AAF"/>
    <w:rsid w:val="00977D02"/>
    <w:rsid w:val="00977FF9"/>
    <w:rsid w:val="0098018A"/>
    <w:rsid w:val="009809BB"/>
    <w:rsid w:val="00982040"/>
    <w:rsid w:val="0098364B"/>
    <w:rsid w:val="009873DC"/>
    <w:rsid w:val="009908A3"/>
    <w:rsid w:val="009911AF"/>
    <w:rsid w:val="00991875"/>
    <w:rsid w:val="00991F92"/>
    <w:rsid w:val="00992985"/>
    <w:rsid w:val="00992AF4"/>
    <w:rsid w:val="00993889"/>
    <w:rsid w:val="009939EA"/>
    <w:rsid w:val="0099551B"/>
    <w:rsid w:val="009957CA"/>
    <w:rsid w:val="00995955"/>
    <w:rsid w:val="00996BD2"/>
    <w:rsid w:val="00997537"/>
    <w:rsid w:val="00997BF1"/>
    <w:rsid w:val="009A089C"/>
    <w:rsid w:val="009A118E"/>
    <w:rsid w:val="009A21CD"/>
    <w:rsid w:val="009A278C"/>
    <w:rsid w:val="009A2BC2"/>
    <w:rsid w:val="009A329E"/>
    <w:rsid w:val="009A42C1"/>
    <w:rsid w:val="009A43BC"/>
    <w:rsid w:val="009A5429"/>
    <w:rsid w:val="009A72AD"/>
    <w:rsid w:val="009B09E0"/>
    <w:rsid w:val="009B0BC5"/>
    <w:rsid w:val="009B1247"/>
    <w:rsid w:val="009B3DD4"/>
    <w:rsid w:val="009B3EAB"/>
    <w:rsid w:val="009B52D0"/>
    <w:rsid w:val="009B6029"/>
    <w:rsid w:val="009B6971"/>
    <w:rsid w:val="009C003C"/>
    <w:rsid w:val="009C27F1"/>
    <w:rsid w:val="009C3152"/>
    <w:rsid w:val="009C3257"/>
    <w:rsid w:val="009C4CFA"/>
    <w:rsid w:val="009C5070"/>
    <w:rsid w:val="009D112C"/>
    <w:rsid w:val="009D1385"/>
    <w:rsid w:val="009D47FA"/>
    <w:rsid w:val="009D4C5B"/>
    <w:rsid w:val="009D50D2"/>
    <w:rsid w:val="009D50DB"/>
    <w:rsid w:val="009D6BCA"/>
    <w:rsid w:val="009D71AF"/>
    <w:rsid w:val="009E0F62"/>
    <w:rsid w:val="009E4A58"/>
    <w:rsid w:val="009E5A2D"/>
    <w:rsid w:val="009E5AB2"/>
    <w:rsid w:val="009E6219"/>
    <w:rsid w:val="009E6F92"/>
    <w:rsid w:val="009F03B3"/>
    <w:rsid w:val="009F3C1F"/>
    <w:rsid w:val="00A0096C"/>
    <w:rsid w:val="00A00CC2"/>
    <w:rsid w:val="00A01757"/>
    <w:rsid w:val="00A02584"/>
    <w:rsid w:val="00A028C0"/>
    <w:rsid w:val="00A02BAE"/>
    <w:rsid w:val="00A03B3D"/>
    <w:rsid w:val="00A04375"/>
    <w:rsid w:val="00A06A6B"/>
    <w:rsid w:val="00A07E47"/>
    <w:rsid w:val="00A1102E"/>
    <w:rsid w:val="00A118D2"/>
    <w:rsid w:val="00A129D0"/>
    <w:rsid w:val="00A12BF2"/>
    <w:rsid w:val="00A12C33"/>
    <w:rsid w:val="00A138BA"/>
    <w:rsid w:val="00A14C8E"/>
    <w:rsid w:val="00A153D9"/>
    <w:rsid w:val="00A15F09"/>
    <w:rsid w:val="00A1662D"/>
    <w:rsid w:val="00A169B6"/>
    <w:rsid w:val="00A2271D"/>
    <w:rsid w:val="00A23505"/>
    <w:rsid w:val="00A237D5"/>
    <w:rsid w:val="00A25235"/>
    <w:rsid w:val="00A25E48"/>
    <w:rsid w:val="00A30EFC"/>
    <w:rsid w:val="00A31984"/>
    <w:rsid w:val="00A32D73"/>
    <w:rsid w:val="00A3367B"/>
    <w:rsid w:val="00A33C67"/>
    <w:rsid w:val="00A3597D"/>
    <w:rsid w:val="00A36DD1"/>
    <w:rsid w:val="00A4006C"/>
    <w:rsid w:val="00A40091"/>
    <w:rsid w:val="00A4030F"/>
    <w:rsid w:val="00A40FE9"/>
    <w:rsid w:val="00A41C79"/>
    <w:rsid w:val="00A41CB5"/>
    <w:rsid w:val="00A42CDF"/>
    <w:rsid w:val="00A42F75"/>
    <w:rsid w:val="00A4452E"/>
    <w:rsid w:val="00A4472C"/>
    <w:rsid w:val="00A44E69"/>
    <w:rsid w:val="00A4661E"/>
    <w:rsid w:val="00A4775D"/>
    <w:rsid w:val="00A519D6"/>
    <w:rsid w:val="00A55BD6"/>
    <w:rsid w:val="00A55D50"/>
    <w:rsid w:val="00A57142"/>
    <w:rsid w:val="00A57EE1"/>
    <w:rsid w:val="00A601A0"/>
    <w:rsid w:val="00A648CD"/>
    <w:rsid w:val="00A6537A"/>
    <w:rsid w:val="00A67866"/>
    <w:rsid w:val="00A70B07"/>
    <w:rsid w:val="00A723F8"/>
    <w:rsid w:val="00A72930"/>
    <w:rsid w:val="00A72EA7"/>
    <w:rsid w:val="00A77CCB"/>
    <w:rsid w:val="00A83D8D"/>
    <w:rsid w:val="00A8446B"/>
    <w:rsid w:val="00A8473F"/>
    <w:rsid w:val="00A862D6"/>
    <w:rsid w:val="00A8715E"/>
    <w:rsid w:val="00A87D42"/>
    <w:rsid w:val="00A92787"/>
    <w:rsid w:val="00A9295B"/>
    <w:rsid w:val="00A93B09"/>
    <w:rsid w:val="00A952D7"/>
    <w:rsid w:val="00A963F7"/>
    <w:rsid w:val="00A96AD8"/>
    <w:rsid w:val="00A97117"/>
    <w:rsid w:val="00AA052C"/>
    <w:rsid w:val="00AA1E45"/>
    <w:rsid w:val="00AA31FC"/>
    <w:rsid w:val="00AA3A88"/>
    <w:rsid w:val="00AA3D24"/>
    <w:rsid w:val="00AA4286"/>
    <w:rsid w:val="00AA456B"/>
    <w:rsid w:val="00AA57F5"/>
    <w:rsid w:val="00AA672E"/>
    <w:rsid w:val="00AA6EC9"/>
    <w:rsid w:val="00AB07D9"/>
    <w:rsid w:val="00AB25D4"/>
    <w:rsid w:val="00AB50A9"/>
    <w:rsid w:val="00AB6309"/>
    <w:rsid w:val="00AB6C5F"/>
    <w:rsid w:val="00AB7129"/>
    <w:rsid w:val="00AC05FB"/>
    <w:rsid w:val="00AC08EC"/>
    <w:rsid w:val="00AC27A6"/>
    <w:rsid w:val="00AC30F7"/>
    <w:rsid w:val="00AC3A5A"/>
    <w:rsid w:val="00AC4075"/>
    <w:rsid w:val="00AC4D95"/>
    <w:rsid w:val="00AC5DF4"/>
    <w:rsid w:val="00AD02CE"/>
    <w:rsid w:val="00AD0AEF"/>
    <w:rsid w:val="00AD0B60"/>
    <w:rsid w:val="00AD11B7"/>
    <w:rsid w:val="00AD1A94"/>
    <w:rsid w:val="00AD1C05"/>
    <w:rsid w:val="00AD3AA1"/>
    <w:rsid w:val="00AD3C5C"/>
    <w:rsid w:val="00AD4126"/>
    <w:rsid w:val="00AD421C"/>
    <w:rsid w:val="00AD44FA"/>
    <w:rsid w:val="00AE070A"/>
    <w:rsid w:val="00AE101C"/>
    <w:rsid w:val="00AE2A69"/>
    <w:rsid w:val="00AE37E5"/>
    <w:rsid w:val="00AE5EB4"/>
    <w:rsid w:val="00AF0C18"/>
    <w:rsid w:val="00AF26F4"/>
    <w:rsid w:val="00AF47C5"/>
    <w:rsid w:val="00AF5398"/>
    <w:rsid w:val="00AF6171"/>
    <w:rsid w:val="00B02CEE"/>
    <w:rsid w:val="00B049AF"/>
    <w:rsid w:val="00B0663B"/>
    <w:rsid w:val="00B07242"/>
    <w:rsid w:val="00B10534"/>
    <w:rsid w:val="00B113DB"/>
    <w:rsid w:val="00B11D8A"/>
    <w:rsid w:val="00B12981"/>
    <w:rsid w:val="00B13119"/>
    <w:rsid w:val="00B147DD"/>
    <w:rsid w:val="00B156FD"/>
    <w:rsid w:val="00B21F61"/>
    <w:rsid w:val="00B2436A"/>
    <w:rsid w:val="00B261F1"/>
    <w:rsid w:val="00B265BC"/>
    <w:rsid w:val="00B31FB1"/>
    <w:rsid w:val="00B33952"/>
    <w:rsid w:val="00B33C5E"/>
    <w:rsid w:val="00B33E52"/>
    <w:rsid w:val="00B342F4"/>
    <w:rsid w:val="00B34369"/>
    <w:rsid w:val="00B34DC2"/>
    <w:rsid w:val="00B378E5"/>
    <w:rsid w:val="00B431E1"/>
    <w:rsid w:val="00B4346D"/>
    <w:rsid w:val="00B440F4"/>
    <w:rsid w:val="00B447A5"/>
    <w:rsid w:val="00B449C6"/>
    <w:rsid w:val="00B452E0"/>
    <w:rsid w:val="00B4654C"/>
    <w:rsid w:val="00B466C9"/>
    <w:rsid w:val="00B47293"/>
    <w:rsid w:val="00B50E50"/>
    <w:rsid w:val="00B52120"/>
    <w:rsid w:val="00B54ABC"/>
    <w:rsid w:val="00B56FBE"/>
    <w:rsid w:val="00B60ACF"/>
    <w:rsid w:val="00B61AEF"/>
    <w:rsid w:val="00B62B58"/>
    <w:rsid w:val="00B62C73"/>
    <w:rsid w:val="00B65149"/>
    <w:rsid w:val="00B66567"/>
    <w:rsid w:val="00B66F52"/>
    <w:rsid w:val="00B66FE5"/>
    <w:rsid w:val="00B72880"/>
    <w:rsid w:val="00B73C37"/>
    <w:rsid w:val="00B758BF"/>
    <w:rsid w:val="00B76433"/>
    <w:rsid w:val="00B77EC8"/>
    <w:rsid w:val="00B80A29"/>
    <w:rsid w:val="00B827A6"/>
    <w:rsid w:val="00B831CE"/>
    <w:rsid w:val="00B86677"/>
    <w:rsid w:val="00B867A6"/>
    <w:rsid w:val="00B87131"/>
    <w:rsid w:val="00B939B1"/>
    <w:rsid w:val="00B93BFC"/>
    <w:rsid w:val="00B96D40"/>
    <w:rsid w:val="00B97386"/>
    <w:rsid w:val="00BA10D5"/>
    <w:rsid w:val="00BA263B"/>
    <w:rsid w:val="00BA42B2"/>
    <w:rsid w:val="00BA58D4"/>
    <w:rsid w:val="00BA5B9E"/>
    <w:rsid w:val="00BA7C9A"/>
    <w:rsid w:val="00BB23AD"/>
    <w:rsid w:val="00BB49CE"/>
    <w:rsid w:val="00BB4DEF"/>
    <w:rsid w:val="00BB5F8F"/>
    <w:rsid w:val="00BB657A"/>
    <w:rsid w:val="00BB6AFC"/>
    <w:rsid w:val="00BC038F"/>
    <w:rsid w:val="00BC0C26"/>
    <w:rsid w:val="00BC1007"/>
    <w:rsid w:val="00BC1A4E"/>
    <w:rsid w:val="00BC2879"/>
    <w:rsid w:val="00BC3572"/>
    <w:rsid w:val="00BC5DC7"/>
    <w:rsid w:val="00BC61EE"/>
    <w:rsid w:val="00BC6B8B"/>
    <w:rsid w:val="00BC73D8"/>
    <w:rsid w:val="00BD2FB5"/>
    <w:rsid w:val="00BD52D7"/>
    <w:rsid w:val="00BD5AD2"/>
    <w:rsid w:val="00BE1097"/>
    <w:rsid w:val="00BE1E85"/>
    <w:rsid w:val="00BE22F3"/>
    <w:rsid w:val="00BE5B52"/>
    <w:rsid w:val="00BE7B8D"/>
    <w:rsid w:val="00BF0993"/>
    <w:rsid w:val="00BF10A9"/>
    <w:rsid w:val="00BF1703"/>
    <w:rsid w:val="00BF231C"/>
    <w:rsid w:val="00BF51E5"/>
    <w:rsid w:val="00BF74A6"/>
    <w:rsid w:val="00C0102A"/>
    <w:rsid w:val="00C013AD"/>
    <w:rsid w:val="00C04493"/>
    <w:rsid w:val="00C04904"/>
    <w:rsid w:val="00C056B3"/>
    <w:rsid w:val="00C103E5"/>
    <w:rsid w:val="00C121C3"/>
    <w:rsid w:val="00C13319"/>
    <w:rsid w:val="00C13EE9"/>
    <w:rsid w:val="00C20D88"/>
    <w:rsid w:val="00C21540"/>
    <w:rsid w:val="00C21906"/>
    <w:rsid w:val="00C21BFA"/>
    <w:rsid w:val="00C246CA"/>
    <w:rsid w:val="00C24C8D"/>
    <w:rsid w:val="00C25FE2"/>
    <w:rsid w:val="00C26B53"/>
    <w:rsid w:val="00C279B2"/>
    <w:rsid w:val="00C27DA2"/>
    <w:rsid w:val="00C33E50"/>
    <w:rsid w:val="00C34C20"/>
    <w:rsid w:val="00C35169"/>
    <w:rsid w:val="00C35A3E"/>
    <w:rsid w:val="00C365E7"/>
    <w:rsid w:val="00C37500"/>
    <w:rsid w:val="00C42130"/>
    <w:rsid w:val="00C423A4"/>
    <w:rsid w:val="00C423E3"/>
    <w:rsid w:val="00C4243C"/>
    <w:rsid w:val="00C44BF5"/>
    <w:rsid w:val="00C45D40"/>
    <w:rsid w:val="00C471CE"/>
    <w:rsid w:val="00C50346"/>
    <w:rsid w:val="00C5039A"/>
    <w:rsid w:val="00C521D6"/>
    <w:rsid w:val="00C5490C"/>
    <w:rsid w:val="00C54D20"/>
    <w:rsid w:val="00C55232"/>
    <w:rsid w:val="00C553A4"/>
    <w:rsid w:val="00C55A06"/>
    <w:rsid w:val="00C55D03"/>
    <w:rsid w:val="00C601BC"/>
    <w:rsid w:val="00C60C22"/>
    <w:rsid w:val="00C6329F"/>
    <w:rsid w:val="00C63340"/>
    <w:rsid w:val="00C642FB"/>
    <w:rsid w:val="00C643F9"/>
    <w:rsid w:val="00C64E95"/>
    <w:rsid w:val="00C66253"/>
    <w:rsid w:val="00C67C1A"/>
    <w:rsid w:val="00C707C1"/>
    <w:rsid w:val="00C71372"/>
    <w:rsid w:val="00C72410"/>
    <w:rsid w:val="00C7287F"/>
    <w:rsid w:val="00C80CB8"/>
    <w:rsid w:val="00C819F8"/>
    <w:rsid w:val="00C8248C"/>
    <w:rsid w:val="00C84E33"/>
    <w:rsid w:val="00C86D6F"/>
    <w:rsid w:val="00C9055C"/>
    <w:rsid w:val="00C905FC"/>
    <w:rsid w:val="00C9249E"/>
    <w:rsid w:val="00C92D03"/>
    <w:rsid w:val="00C9319C"/>
    <w:rsid w:val="00C9435D"/>
    <w:rsid w:val="00C94DF2"/>
    <w:rsid w:val="00C95E89"/>
    <w:rsid w:val="00C96741"/>
    <w:rsid w:val="00CA24C1"/>
    <w:rsid w:val="00CA2D1B"/>
    <w:rsid w:val="00CA375D"/>
    <w:rsid w:val="00CA6300"/>
    <w:rsid w:val="00CA662A"/>
    <w:rsid w:val="00CA7AFD"/>
    <w:rsid w:val="00CA7C3C"/>
    <w:rsid w:val="00CB0189"/>
    <w:rsid w:val="00CB0286"/>
    <w:rsid w:val="00CB09F2"/>
    <w:rsid w:val="00CB0BA2"/>
    <w:rsid w:val="00CB1A42"/>
    <w:rsid w:val="00CB1B0C"/>
    <w:rsid w:val="00CB2C0B"/>
    <w:rsid w:val="00CB517D"/>
    <w:rsid w:val="00CB59D6"/>
    <w:rsid w:val="00CC038D"/>
    <w:rsid w:val="00CC08DB"/>
    <w:rsid w:val="00CC39FF"/>
    <w:rsid w:val="00CC3C2F"/>
    <w:rsid w:val="00CC4AC8"/>
    <w:rsid w:val="00CC4CB7"/>
    <w:rsid w:val="00CC5233"/>
    <w:rsid w:val="00CC5DE6"/>
    <w:rsid w:val="00CC6E4E"/>
    <w:rsid w:val="00CC6FE8"/>
    <w:rsid w:val="00CC7202"/>
    <w:rsid w:val="00CD2808"/>
    <w:rsid w:val="00CD28BF"/>
    <w:rsid w:val="00CD358A"/>
    <w:rsid w:val="00CD4092"/>
    <w:rsid w:val="00CD4A20"/>
    <w:rsid w:val="00CD50A1"/>
    <w:rsid w:val="00CD519E"/>
    <w:rsid w:val="00CD6738"/>
    <w:rsid w:val="00CE00D9"/>
    <w:rsid w:val="00CE0C4F"/>
    <w:rsid w:val="00CE30EA"/>
    <w:rsid w:val="00CF048A"/>
    <w:rsid w:val="00CF155A"/>
    <w:rsid w:val="00CF2947"/>
    <w:rsid w:val="00CF3462"/>
    <w:rsid w:val="00CF686F"/>
    <w:rsid w:val="00CF69C5"/>
    <w:rsid w:val="00CF6E60"/>
    <w:rsid w:val="00CF7BCA"/>
    <w:rsid w:val="00D008FD"/>
    <w:rsid w:val="00D02950"/>
    <w:rsid w:val="00D0321C"/>
    <w:rsid w:val="00D035EC"/>
    <w:rsid w:val="00D06AB1"/>
    <w:rsid w:val="00D06FC1"/>
    <w:rsid w:val="00D072ED"/>
    <w:rsid w:val="00D07A16"/>
    <w:rsid w:val="00D1067E"/>
    <w:rsid w:val="00D10F50"/>
    <w:rsid w:val="00D11272"/>
    <w:rsid w:val="00D126F5"/>
    <w:rsid w:val="00D1276A"/>
    <w:rsid w:val="00D135E9"/>
    <w:rsid w:val="00D1489E"/>
    <w:rsid w:val="00D20737"/>
    <w:rsid w:val="00D21E81"/>
    <w:rsid w:val="00D223DE"/>
    <w:rsid w:val="00D23CE5"/>
    <w:rsid w:val="00D24C1A"/>
    <w:rsid w:val="00D25E37"/>
    <w:rsid w:val="00D2661A"/>
    <w:rsid w:val="00D2664A"/>
    <w:rsid w:val="00D27582"/>
    <w:rsid w:val="00D27EC4"/>
    <w:rsid w:val="00D32719"/>
    <w:rsid w:val="00D33333"/>
    <w:rsid w:val="00D33F57"/>
    <w:rsid w:val="00D352A2"/>
    <w:rsid w:val="00D4162B"/>
    <w:rsid w:val="00D42C76"/>
    <w:rsid w:val="00D430CE"/>
    <w:rsid w:val="00D4506A"/>
    <w:rsid w:val="00D4514F"/>
    <w:rsid w:val="00D451E2"/>
    <w:rsid w:val="00D45E89"/>
    <w:rsid w:val="00D45E8D"/>
    <w:rsid w:val="00D466AE"/>
    <w:rsid w:val="00D4734F"/>
    <w:rsid w:val="00D51BF3"/>
    <w:rsid w:val="00D54B1C"/>
    <w:rsid w:val="00D66799"/>
    <w:rsid w:val="00D66846"/>
    <w:rsid w:val="00D675FB"/>
    <w:rsid w:val="00D7127B"/>
    <w:rsid w:val="00D71B2A"/>
    <w:rsid w:val="00D71F25"/>
    <w:rsid w:val="00D7274F"/>
    <w:rsid w:val="00D72A9C"/>
    <w:rsid w:val="00D77031"/>
    <w:rsid w:val="00D81B93"/>
    <w:rsid w:val="00D84941"/>
    <w:rsid w:val="00D84FA1"/>
    <w:rsid w:val="00D851F0"/>
    <w:rsid w:val="00D86DB7"/>
    <w:rsid w:val="00D87BF5"/>
    <w:rsid w:val="00D90721"/>
    <w:rsid w:val="00D926D0"/>
    <w:rsid w:val="00D93030"/>
    <w:rsid w:val="00D939B2"/>
    <w:rsid w:val="00D950E1"/>
    <w:rsid w:val="00D952A6"/>
    <w:rsid w:val="00D97F99"/>
    <w:rsid w:val="00DA1E08"/>
    <w:rsid w:val="00DA24D7"/>
    <w:rsid w:val="00DA24F8"/>
    <w:rsid w:val="00DA270C"/>
    <w:rsid w:val="00DA28E8"/>
    <w:rsid w:val="00DA38D3"/>
    <w:rsid w:val="00DA3932"/>
    <w:rsid w:val="00DA3AFC"/>
    <w:rsid w:val="00DA64F8"/>
    <w:rsid w:val="00DA6C15"/>
    <w:rsid w:val="00DB0258"/>
    <w:rsid w:val="00DB38EE"/>
    <w:rsid w:val="00DB4928"/>
    <w:rsid w:val="00DB498B"/>
    <w:rsid w:val="00DB66CA"/>
    <w:rsid w:val="00DB6BCA"/>
    <w:rsid w:val="00DB6F54"/>
    <w:rsid w:val="00DB73F7"/>
    <w:rsid w:val="00DC0321"/>
    <w:rsid w:val="00DC0B56"/>
    <w:rsid w:val="00DC22C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500"/>
    <w:rsid w:val="00DE6E81"/>
    <w:rsid w:val="00DE703F"/>
    <w:rsid w:val="00DE7595"/>
    <w:rsid w:val="00DF1961"/>
    <w:rsid w:val="00DF293F"/>
    <w:rsid w:val="00DF44DE"/>
    <w:rsid w:val="00DF526C"/>
    <w:rsid w:val="00E01138"/>
    <w:rsid w:val="00E02DFB"/>
    <w:rsid w:val="00E030F9"/>
    <w:rsid w:val="00E0311A"/>
    <w:rsid w:val="00E03138"/>
    <w:rsid w:val="00E06363"/>
    <w:rsid w:val="00E06404"/>
    <w:rsid w:val="00E11A85"/>
    <w:rsid w:val="00E12495"/>
    <w:rsid w:val="00E15CCD"/>
    <w:rsid w:val="00E202EF"/>
    <w:rsid w:val="00E210B5"/>
    <w:rsid w:val="00E2552F"/>
    <w:rsid w:val="00E3137A"/>
    <w:rsid w:val="00E31EAA"/>
    <w:rsid w:val="00E321B9"/>
    <w:rsid w:val="00E32CCF"/>
    <w:rsid w:val="00E34A98"/>
    <w:rsid w:val="00E35D1E"/>
    <w:rsid w:val="00E364F9"/>
    <w:rsid w:val="00E365FA"/>
    <w:rsid w:val="00E36789"/>
    <w:rsid w:val="00E41D51"/>
    <w:rsid w:val="00E44A83"/>
    <w:rsid w:val="00E46431"/>
    <w:rsid w:val="00E502C1"/>
    <w:rsid w:val="00E502DD"/>
    <w:rsid w:val="00E50D3A"/>
    <w:rsid w:val="00E51387"/>
    <w:rsid w:val="00E51E68"/>
    <w:rsid w:val="00E52588"/>
    <w:rsid w:val="00E52EFD"/>
    <w:rsid w:val="00E5408A"/>
    <w:rsid w:val="00E55D50"/>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A09"/>
    <w:rsid w:val="00E831C1"/>
    <w:rsid w:val="00E846C8"/>
    <w:rsid w:val="00E84957"/>
    <w:rsid w:val="00E84A55"/>
    <w:rsid w:val="00E85BFF"/>
    <w:rsid w:val="00E90391"/>
    <w:rsid w:val="00E906C2"/>
    <w:rsid w:val="00E9311F"/>
    <w:rsid w:val="00E934D1"/>
    <w:rsid w:val="00E94AF0"/>
    <w:rsid w:val="00E95D13"/>
    <w:rsid w:val="00E95DD3"/>
    <w:rsid w:val="00E969D5"/>
    <w:rsid w:val="00EA245C"/>
    <w:rsid w:val="00EA58D1"/>
    <w:rsid w:val="00EA61BC"/>
    <w:rsid w:val="00EA681A"/>
    <w:rsid w:val="00EA735B"/>
    <w:rsid w:val="00EB1E69"/>
    <w:rsid w:val="00EB2086"/>
    <w:rsid w:val="00EB31ED"/>
    <w:rsid w:val="00EB416C"/>
    <w:rsid w:val="00EB5EDF"/>
    <w:rsid w:val="00EB60FE"/>
    <w:rsid w:val="00EB73F0"/>
    <w:rsid w:val="00EB74DB"/>
    <w:rsid w:val="00EC02DC"/>
    <w:rsid w:val="00EC17EC"/>
    <w:rsid w:val="00EC5359"/>
    <w:rsid w:val="00EC562A"/>
    <w:rsid w:val="00ED067A"/>
    <w:rsid w:val="00ED06D4"/>
    <w:rsid w:val="00ED2B50"/>
    <w:rsid w:val="00ED505C"/>
    <w:rsid w:val="00ED5E6F"/>
    <w:rsid w:val="00EE0350"/>
    <w:rsid w:val="00EE0719"/>
    <w:rsid w:val="00EE0E80"/>
    <w:rsid w:val="00EE53A2"/>
    <w:rsid w:val="00EE59FE"/>
    <w:rsid w:val="00EE613F"/>
    <w:rsid w:val="00EE7295"/>
    <w:rsid w:val="00EE7869"/>
    <w:rsid w:val="00EF054A"/>
    <w:rsid w:val="00EF3235"/>
    <w:rsid w:val="00EF7E72"/>
    <w:rsid w:val="00F01BF3"/>
    <w:rsid w:val="00F06643"/>
    <w:rsid w:val="00F06D37"/>
    <w:rsid w:val="00F07B9D"/>
    <w:rsid w:val="00F10022"/>
    <w:rsid w:val="00F11586"/>
    <w:rsid w:val="00F1183B"/>
    <w:rsid w:val="00F11C9F"/>
    <w:rsid w:val="00F12263"/>
    <w:rsid w:val="00F1409D"/>
    <w:rsid w:val="00F14214"/>
    <w:rsid w:val="00F157A9"/>
    <w:rsid w:val="00F16F00"/>
    <w:rsid w:val="00F17063"/>
    <w:rsid w:val="00F25BB6"/>
    <w:rsid w:val="00F26B7E"/>
    <w:rsid w:val="00F27A3B"/>
    <w:rsid w:val="00F32780"/>
    <w:rsid w:val="00F33817"/>
    <w:rsid w:val="00F356D2"/>
    <w:rsid w:val="00F375DA"/>
    <w:rsid w:val="00F420D5"/>
    <w:rsid w:val="00F451EA"/>
    <w:rsid w:val="00F45447"/>
    <w:rsid w:val="00F456C6"/>
    <w:rsid w:val="00F4577B"/>
    <w:rsid w:val="00F46496"/>
    <w:rsid w:val="00F474D0"/>
    <w:rsid w:val="00F50179"/>
    <w:rsid w:val="00F511D9"/>
    <w:rsid w:val="00F515EE"/>
    <w:rsid w:val="00F517D4"/>
    <w:rsid w:val="00F53992"/>
    <w:rsid w:val="00F56511"/>
    <w:rsid w:val="00F57C17"/>
    <w:rsid w:val="00F6194E"/>
    <w:rsid w:val="00F623AC"/>
    <w:rsid w:val="00F6412A"/>
    <w:rsid w:val="00F65893"/>
    <w:rsid w:val="00F66A4A"/>
    <w:rsid w:val="00F706F6"/>
    <w:rsid w:val="00F71E22"/>
    <w:rsid w:val="00F72142"/>
    <w:rsid w:val="00F72AE7"/>
    <w:rsid w:val="00F76B66"/>
    <w:rsid w:val="00F832AB"/>
    <w:rsid w:val="00F833BA"/>
    <w:rsid w:val="00F84FD0"/>
    <w:rsid w:val="00F859A8"/>
    <w:rsid w:val="00F86D87"/>
    <w:rsid w:val="00F9108B"/>
    <w:rsid w:val="00F91349"/>
    <w:rsid w:val="00F93A8A"/>
    <w:rsid w:val="00F95248"/>
    <w:rsid w:val="00F956A9"/>
    <w:rsid w:val="00F9597D"/>
    <w:rsid w:val="00F963ED"/>
    <w:rsid w:val="00F966CF"/>
    <w:rsid w:val="00F96CAE"/>
    <w:rsid w:val="00F97C99"/>
    <w:rsid w:val="00FA263E"/>
    <w:rsid w:val="00FA662D"/>
    <w:rsid w:val="00FA73B1"/>
    <w:rsid w:val="00FB0CB9"/>
    <w:rsid w:val="00FB231D"/>
    <w:rsid w:val="00FB45F1"/>
    <w:rsid w:val="00FB4A72"/>
    <w:rsid w:val="00FB54E8"/>
    <w:rsid w:val="00FB7054"/>
    <w:rsid w:val="00FC17B7"/>
    <w:rsid w:val="00FC2CB7"/>
    <w:rsid w:val="00FC4090"/>
    <w:rsid w:val="00FC55B4"/>
    <w:rsid w:val="00FD00E6"/>
    <w:rsid w:val="00FD00F3"/>
    <w:rsid w:val="00FD09A1"/>
    <w:rsid w:val="00FD0E49"/>
    <w:rsid w:val="00FD157A"/>
    <w:rsid w:val="00FD2A7C"/>
    <w:rsid w:val="00FD59EB"/>
    <w:rsid w:val="00FD7299"/>
    <w:rsid w:val="00FE0D81"/>
    <w:rsid w:val="00FE0DD8"/>
    <w:rsid w:val="00FE1FBE"/>
    <w:rsid w:val="00FE3788"/>
    <w:rsid w:val="00FE3901"/>
    <w:rsid w:val="00FE39D3"/>
    <w:rsid w:val="00FE40A3"/>
    <w:rsid w:val="00FE4B11"/>
    <w:rsid w:val="00FE4BCE"/>
    <w:rsid w:val="00FE54AE"/>
    <w:rsid w:val="00FE576A"/>
    <w:rsid w:val="00FE7E79"/>
    <w:rsid w:val="00FF2C93"/>
    <w:rsid w:val="00FF3E7D"/>
    <w:rsid w:val="00FF5B99"/>
    <w:rsid w:val="00FF730C"/>
    <w:rsid w:val="00FF73F4"/>
    <w:rsid w:val="00FF7CE4"/>
    <w:rsid w:val="00FF7E39"/>
    <w:rsid w:val="04642403"/>
    <w:rsid w:val="0C0A3890"/>
    <w:rsid w:val="0F3155D8"/>
    <w:rsid w:val="10724E73"/>
    <w:rsid w:val="139B3968"/>
    <w:rsid w:val="14243B11"/>
    <w:rsid w:val="153100E0"/>
    <w:rsid w:val="15AC24F2"/>
    <w:rsid w:val="168B1A72"/>
    <w:rsid w:val="16BD32EE"/>
    <w:rsid w:val="18DF60A5"/>
    <w:rsid w:val="1E4603BA"/>
    <w:rsid w:val="21183C5E"/>
    <w:rsid w:val="23FC7B0B"/>
    <w:rsid w:val="24DF7844"/>
    <w:rsid w:val="291E1AA8"/>
    <w:rsid w:val="2A125D60"/>
    <w:rsid w:val="2A3C6EB3"/>
    <w:rsid w:val="2C3342E6"/>
    <w:rsid w:val="2C9E1BF4"/>
    <w:rsid w:val="2E2760CC"/>
    <w:rsid w:val="34336FF2"/>
    <w:rsid w:val="361E0CF2"/>
    <w:rsid w:val="37335133"/>
    <w:rsid w:val="386307B9"/>
    <w:rsid w:val="39CE38A0"/>
    <w:rsid w:val="3A8737B7"/>
    <w:rsid w:val="404A00F5"/>
    <w:rsid w:val="423C1CEE"/>
    <w:rsid w:val="42E3660E"/>
    <w:rsid w:val="43040332"/>
    <w:rsid w:val="46A71700"/>
    <w:rsid w:val="48741AB6"/>
    <w:rsid w:val="49707BDB"/>
    <w:rsid w:val="4BB723E6"/>
    <w:rsid w:val="4F0A1774"/>
    <w:rsid w:val="50D427B7"/>
    <w:rsid w:val="52302EF2"/>
    <w:rsid w:val="53EA41F9"/>
    <w:rsid w:val="53EA6C3E"/>
    <w:rsid w:val="54BE47E5"/>
    <w:rsid w:val="565415F0"/>
    <w:rsid w:val="567F0E43"/>
    <w:rsid w:val="57196497"/>
    <w:rsid w:val="578A44BE"/>
    <w:rsid w:val="597B0EF6"/>
    <w:rsid w:val="59AB2256"/>
    <w:rsid w:val="5A8042EB"/>
    <w:rsid w:val="5BDB5EC6"/>
    <w:rsid w:val="61663288"/>
    <w:rsid w:val="68C7438B"/>
    <w:rsid w:val="6A8B582E"/>
    <w:rsid w:val="6C123C0C"/>
    <w:rsid w:val="6D661494"/>
    <w:rsid w:val="6FA0121F"/>
    <w:rsid w:val="72566731"/>
    <w:rsid w:val="7479108A"/>
    <w:rsid w:val="76685F07"/>
    <w:rsid w:val="769B100B"/>
    <w:rsid w:val="77DE0B76"/>
    <w:rsid w:val="7C6D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temp-li"/>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table" w:customStyle="1" w:styleId="232">
    <w:name w:val="Table Normal"/>
    <w:basedOn w:val="27"/>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D87493566345C090A9D2E077F6841D"/>
        <w:style w:val=""/>
        <w:category>
          <w:name w:val="常规"/>
          <w:gallery w:val="placeholder"/>
        </w:category>
        <w:types>
          <w:type w:val="bbPlcHdr"/>
        </w:types>
        <w:behaviors>
          <w:behavior w:val="content"/>
        </w:behaviors>
        <w:description w:val=""/>
        <w:guid w:val="{AE95099E-756E-4090-890A-7D201D4A5617}"/>
      </w:docPartPr>
      <w:docPartBody>
        <w:p w14:paraId="44646911">
          <w:pPr>
            <w:pStyle w:val="5"/>
            <w:rPr>
              <w:rFonts w:hint="eastAsia"/>
            </w:rPr>
          </w:pPr>
          <w:r>
            <w:rPr>
              <w:rStyle w:val="4"/>
              <w:rFonts w:hint="eastAsia"/>
            </w:rPr>
            <w:t>单击或点击此处输入文字。</w:t>
          </w:r>
        </w:p>
      </w:docPartBody>
    </w:docPart>
    <w:docPart>
      <w:docPartPr>
        <w:name w:val="{4c8f8a43-e587-4ccd-839e-fe9e43734060}"/>
        <w:style w:val=""/>
        <w:category>
          <w:name w:val="常规"/>
          <w:gallery w:val="placeholder"/>
        </w:category>
        <w:types>
          <w:type w:val="bbPlcHdr"/>
        </w:types>
        <w:behaviors>
          <w:behavior w:val="content"/>
        </w:behaviors>
        <w:description w:val=""/>
        <w:guid w:val="{4c8f8a43-e587-4ccd-839e-fe9e43734060}"/>
      </w:docPartPr>
      <w:docPartBody>
        <w:p w14:paraId="6C755D34">
          <w:pPr>
            <w:pStyle w:val="8"/>
          </w:pPr>
          <w:r>
            <w:rPr>
              <w:rStyle w:val="9"/>
              <w:rFonts w:hint="eastAsia"/>
            </w:rPr>
            <w:t>单击或点击此处输入文字。</w:t>
          </w:r>
        </w:p>
      </w:docPartBody>
    </w:docPart>
    <w:docPart>
      <w:docPartPr>
        <w:name w:val="{f205d3ef-50de-4c8b-8d29-493a73fb83f0}"/>
        <w:style w:val=""/>
        <w:category>
          <w:name w:val="常规"/>
          <w:gallery w:val="placeholder"/>
        </w:category>
        <w:types>
          <w:type w:val="bbPlcHdr"/>
        </w:types>
        <w:behaviors>
          <w:behavior w:val="content"/>
        </w:behaviors>
        <w:description w:val=""/>
        <w:guid w:val="{f205d3ef-50de-4c8b-8d29-493a73fb83f0}"/>
      </w:docPartPr>
      <w:docPartBody>
        <w:p w14:paraId="115CABBC">
          <w:pPr>
            <w:pStyle w:val="10"/>
          </w:pPr>
          <w:r>
            <w:rPr>
              <w:rStyle w:val="9"/>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CC"/>
    <w:rsid w:val="00037B3A"/>
    <w:rsid w:val="0005112D"/>
    <w:rsid w:val="0006493A"/>
    <w:rsid w:val="00097F4B"/>
    <w:rsid w:val="000D6C99"/>
    <w:rsid w:val="00240458"/>
    <w:rsid w:val="00404211"/>
    <w:rsid w:val="00414789"/>
    <w:rsid w:val="00433120"/>
    <w:rsid w:val="004552DF"/>
    <w:rsid w:val="00474F1E"/>
    <w:rsid w:val="004B0C6E"/>
    <w:rsid w:val="004D12A1"/>
    <w:rsid w:val="006223F1"/>
    <w:rsid w:val="00635DF5"/>
    <w:rsid w:val="0065103D"/>
    <w:rsid w:val="00677AA0"/>
    <w:rsid w:val="00705C87"/>
    <w:rsid w:val="007110DB"/>
    <w:rsid w:val="007307E9"/>
    <w:rsid w:val="00785A44"/>
    <w:rsid w:val="007F66A7"/>
    <w:rsid w:val="00825DF3"/>
    <w:rsid w:val="008279E9"/>
    <w:rsid w:val="00832AD3"/>
    <w:rsid w:val="0083501C"/>
    <w:rsid w:val="00915E40"/>
    <w:rsid w:val="0093004E"/>
    <w:rsid w:val="00977AAF"/>
    <w:rsid w:val="009960E6"/>
    <w:rsid w:val="009966A8"/>
    <w:rsid w:val="00A42F75"/>
    <w:rsid w:val="00A519D6"/>
    <w:rsid w:val="00B01B2E"/>
    <w:rsid w:val="00B7201A"/>
    <w:rsid w:val="00C007CC"/>
    <w:rsid w:val="00CA7109"/>
    <w:rsid w:val="00CB09F2"/>
    <w:rsid w:val="00CE1CE4"/>
    <w:rsid w:val="00D541F6"/>
    <w:rsid w:val="00D71B2A"/>
    <w:rsid w:val="00DA5703"/>
    <w:rsid w:val="00E53762"/>
    <w:rsid w:val="00E82A09"/>
    <w:rsid w:val="00E82F03"/>
    <w:rsid w:val="00EB671B"/>
    <w:rsid w:val="00ED505C"/>
    <w:rsid w:val="00EF39CD"/>
    <w:rsid w:val="00F832AB"/>
    <w:rsid w:val="00FD17A7"/>
    <w:rsid w:val="00FD553E"/>
    <w:rsid w:val="00F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0D87493566345C090A9D2E077F684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EE917E3B923430CA4FF9037FC62AB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9EFB487243A4F90B13F8EF86F713F0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占位符文本1"/>
    <w:basedOn w:val="2"/>
    <w:autoRedefine/>
    <w:semiHidden/>
    <w:qFormat/>
    <w:uiPriority w:val="99"/>
    <w:rPr>
      <w:color w:val="808080"/>
    </w:rPr>
  </w:style>
  <w:style w:type="paragraph" w:customStyle="1" w:styleId="10">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6C52E-CCED-4B58-B1FC-BA9C484EBF2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1479</Words>
  <Characters>1869</Characters>
  <Lines>66</Lines>
  <Paragraphs>18</Paragraphs>
  <TotalTime>0</TotalTime>
  <ScaleCrop>false</ScaleCrop>
  <LinksUpToDate>false</LinksUpToDate>
  <CharactersWithSpaces>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2025-12-15T06:47:00Z</dcterms:created>
  <dc:creator>aa</dc:creator>
  <dc:description>&lt;config cover="true" show_menu="true" version="1.0.0" doctype="SDKXY"&gt;_x000d_
&lt;/config&gt;</dc:description>
  <cp:lastModifiedBy>标准部-刘畅</cp:lastModifiedBy>
  <cp:lastPrinted>2021-02-02T08:22:00Z</cp:lastPrinted>
  <dcterms:modified xsi:type="dcterms:W3CDTF">2026-05-11T05:59:51Z</dcterms:modified>
  <dc:title>团体标准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E90AA367840645EBA5B81FAC2FAE9043_13</vt:lpwstr>
  </property>
  <property fmtid="{D5CDD505-2E9C-101B-9397-08002B2CF9AE}" pid="16" name="KSOTemplateDocerSaveRecord">
    <vt:lpwstr>eyJoZGlkIjoiYzNmMjNlYzNkMzMzMDY2NzUxYWJjNGJiMmRjZDI2ODQiLCJ1c2VySWQiOiI0MzQwMTU3MTAifQ==</vt:lpwstr>
  </property>
</Properties>
</file>