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ACB5" w14:textId="7077701D" w:rsidR="00203CDB" w:rsidRDefault="00000000">
      <w:pPr>
        <w:spacing w:beforeLines="50" w:before="156" w:afterLines="50" w:after="156" w:line="240" w:lineRule="auto"/>
        <w:jc w:val="center"/>
        <w:rPr>
          <w:rFonts w:ascii="宋体" w:hAnsi="宋体" w:cs="宋体"/>
          <w:sz w:val="44"/>
          <w:szCs w:val="44"/>
        </w:rPr>
      </w:pPr>
      <w:r>
        <w:rPr>
          <w:rFonts w:ascii="宋体" w:hAnsi="宋体" w:cs="宋体" w:hint="eastAsia"/>
          <w:sz w:val="44"/>
          <w:szCs w:val="44"/>
        </w:rPr>
        <w:t>《</w:t>
      </w:r>
      <w:r w:rsidR="00A640FD">
        <w:rPr>
          <w:rFonts w:ascii="宋体" w:hAnsi="宋体" w:cs="宋体" w:hint="eastAsia"/>
          <w:sz w:val="44"/>
          <w:szCs w:val="44"/>
        </w:rPr>
        <w:t>固态变压器 第2部分：数据中心用</w:t>
      </w:r>
      <w:r w:rsidR="002A096E">
        <w:rPr>
          <w:rFonts w:ascii="宋体" w:hAnsi="宋体" w:cs="宋体"/>
          <w:sz w:val="44"/>
          <w:szCs w:val="44"/>
        </w:rPr>
        <w:br/>
      </w:r>
      <w:r w:rsidR="00A640FD">
        <w:rPr>
          <w:rFonts w:ascii="宋体" w:hAnsi="宋体" w:cs="宋体" w:hint="eastAsia"/>
          <w:sz w:val="44"/>
          <w:szCs w:val="44"/>
        </w:rPr>
        <w:t>固态变压器</w:t>
      </w:r>
      <w:r>
        <w:rPr>
          <w:rFonts w:ascii="宋体" w:hAnsi="宋体" w:cs="宋体" w:hint="eastAsia"/>
          <w:sz w:val="44"/>
          <w:szCs w:val="44"/>
        </w:rPr>
        <w:t>》</w:t>
      </w:r>
    </w:p>
    <w:p w14:paraId="44E4597F" w14:textId="77777777" w:rsidR="00203CDB" w:rsidRDefault="00000000">
      <w:pPr>
        <w:spacing w:beforeLines="50" w:before="156" w:afterLines="50" w:after="156" w:line="240" w:lineRule="auto"/>
        <w:jc w:val="center"/>
        <w:rPr>
          <w:rFonts w:ascii="Times New Roman" w:eastAsia="黑体" w:hAnsi="Times New Roman"/>
          <w:sz w:val="32"/>
          <w:szCs w:val="32"/>
        </w:rPr>
      </w:pPr>
      <w:r>
        <w:rPr>
          <w:rFonts w:ascii="Times New Roman" w:eastAsia="黑体" w:hAnsi="Times New Roman" w:hint="eastAsia"/>
          <w:sz w:val="32"/>
          <w:szCs w:val="32"/>
        </w:rPr>
        <w:t>（征求意见稿）</w:t>
      </w:r>
    </w:p>
    <w:p w14:paraId="074A2A64" w14:textId="77777777" w:rsidR="00203CDB" w:rsidRDefault="00000000">
      <w:pPr>
        <w:spacing w:beforeLines="50" w:before="156" w:afterLines="50" w:after="156" w:line="240" w:lineRule="auto"/>
        <w:jc w:val="center"/>
        <w:rPr>
          <w:rFonts w:ascii="Times New Roman" w:eastAsia="黑体" w:hAnsi="Times New Roman"/>
          <w:sz w:val="32"/>
          <w:szCs w:val="32"/>
        </w:rPr>
      </w:pPr>
      <w:r>
        <w:rPr>
          <w:rFonts w:ascii="Times New Roman" w:eastAsia="黑体" w:hAnsi="Times New Roman" w:hint="eastAsia"/>
          <w:sz w:val="32"/>
          <w:szCs w:val="32"/>
        </w:rPr>
        <w:t>编制说明</w:t>
      </w:r>
    </w:p>
    <w:p w14:paraId="4348FC38"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工作简况</w:t>
      </w:r>
    </w:p>
    <w:p w14:paraId="6200CB88"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（一）任务来源</w:t>
      </w:r>
    </w:p>
    <w:p w14:paraId="538CFC6B" w14:textId="4E293248"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本项目根据中国欧洲经济技术合作协会2026年团体标准制定计划，项目名称为《</w:t>
      </w:r>
      <w:r w:rsidR="00A640FD">
        <w:rPr>
          <w:rFonts w:ascii="宋体" w:hAnsi="宋体" w:cs="宋体" w:hint="eastAsia"/>
        </w:rPr>
        <w:t>固态变压器 第2部分：数据中心用固态变压器</w:t>
      </w:r>
      <w:r>
        <w:rPr>
          <w:rFonts w:ascii="宋体" w:hAnsi="宋体" w:cs="宋体" w:hint="eastAsia"/>
        </w:rPr>
        <w:t>》项目计划号T/CEATEC-2026-0</w:t>
      </w:r>
      <w:r w:rsidR="00EF2F96">
        <w:rPr>
          <w:rFonts w:ascii="宋体" w:hAnsi="宋体" w:cs="宋体" w:hint="eastAsia"/>
        </w:rPr>
        <w:t>98</w:t>
      </w:r>
      <w:r>
        <w:rPr>
          <w:rFonts w:ascii="宋体" w:hAnsi="宋体" w:cs="宋体" w:hint="eastAsia"/>
        </w:rPr>
        <w:t>的任务而进行制订。</w:t>
      </w:r>
    </w:p>
    <w:p w14:paraId="62BC70CE"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b/>
          <w:bCs/>
          <w:color w:val="000000" w:themeColor="text1"/>
          <w:sz w:val="28"/>
          <w:szCs w:val="28"/>
        </w:rPr>
        <w:t>（二）起草单位及主要起草人</w:t>
      </w:r>
    </w:p>
    <w:p w14:paraId="72408A2A" w14:textId="13A26AD5"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本文件起草单位：</w:t>
      </w:r>
      <w:r w:rsidR="002352BD" w:rsidRPr="002352BD">
        <w:rPr>
          <w:rFonts w:ascii="宋体" w:hAnsi="宋体" w:cs="宋体"/>
        </w:rPr>
        <w:t>西安西电电力电子有限公司、新华都特种电气股份有限公司、伊顿电源(上海)有限公司、西安为光能源科技有限公司、青岛特锐德电气股份有限公司、世纪互联集团有限公司、维谛技术有限公司、北京火山引擎科技有限公司、深圳麦格米特电气股份有限公司、杭州中恒电气股份有限公司、上海日立能源电力变压器有限公司、纳微达斯（无锡）半导体有限公司、青岛青电电气集团有限公司、西安爱科赛博电气股份有限公司、深圳市盛弘电气股份有限公司、顺特电气设备有限公司</w:t>
      </w:r>
      <w:r>
        <w:rPr>
          <w:rFonts w:ascii="宋体" w:hAnsi="宋体" w:cs="宋体" w:hint="eastAsia"/>
        </w:rPr>
        <w:t>。</w:t>
      </w:r>
    </w:p>
    <w:p w14:paraId="31016CB6" w14:textId="46FC5AEE"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本文件主要起草人：</w:t>
      </w:r>
      <w:r w:rsidR="002352BD" w:rsidRPr="002352BD">
        <w:rPr>
          <w:rFonts w:ascii="宋体" w:hAnsi="宋体" w:cs="宋体"/>
        </w:rPr>
        <w:t>白世军、蔡万兵、宗宝峰、郑大为、轩杨、郝翔、黄浪、于越、赵文江、郑鹏飞、鲍益、高小淇</w:t>
      </w:r>
      <w:r w:rsidR="00D54805">
        <w:rPr>
          <w:rFonts w:ascii="宋体" w:hAnsi="宋体" w:cs="宋体" w:hint="eastAsia"/>
        </w:rPr>
        <w:t>、</w:t>
      </w:r>
      <w:r w:rsidR="002352BD" w:rsidRPr="002352BD">
        <w:rPr>
          <w:rFonts w:ascii="宋体" w:hAnsi="宋体" w:cs="宋体"/>
        </w:rPr>
        <w:t>姚洪齐、李子豪、井汤博、赵峥、周奔 申大力、李善策、赵圣杰、王旭东、罗明、李长春、韩海港、郭斌、黄克峰</w:t>
      </w:r>
      <w:r>
        <w:rPr>
          <w:rFonts w:ascii="宋体" w:hAnsi="宋体" w:cs="宋体" w:hint="eastAsia"/>
        </w:rPr>
        <w:t>。</w:t>
      </w:r>
    </w:p>
    <w:p w14:paraId="1EB45AE9" w14:textId="77777777" w:rsidR="00203CDB" w:rsidRDefault="00000000">
      <w:pPr>
        <w:pStyle w:val="a5"/>
        <w:spacing w:line="360" w:lineRule="auto"/>
        <w:ind w:firstLineChars="200" w:firstLine="56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（三）标准制定目的和意义</w:t>
      </w:r>
    </w:p>
    <w:p w14:paraId="0810597D" w14:textId="0D7C6772" w:rsidR="00203CDB" w:rsidRDefault="00000000">
      <w:pPr>
        <w:pStyle w:val="ab"/>
        <w:widowControl/>
        <w:spacing w:beforeAutospacing="0" w:afterAutospacing="0" w:line="520" w:lineRule="exact"/>
        <w:ind w:firstLineChars="200" w:firstLine="480"/>
        <w:jc w:val="both"/>
        <w:rPr>
          <w:rFonts w:ascii="宋体" w:hAnsi="宋体" w:cs="宋体"/>
        </w:rPr>
      </w:pPr>
      <w:bookmarkStart w:id="0" w:name="OLE_LINK1"/>
      <w:r>
        <w:rPr>
          <w:rFonts w:ascii="宋体" w:hAnsi="宋体" w:cs="宋体" w:hint="eastAsia"/>
        </w:rPr>
        <w:t>从产业角度分析，制定《</w:t>
      </w:r>
      <w:r w:rsidR="00A640FD">
        <w:rPr>
          <w:rFonts w:ascii="宋体" w:hAnsi="宋体" w:cs="宋体" w:hint="eastAsia"/>
        </w:rPr>
        <w:t>固态变压器 第2部分：数据中心用固态变压器</w:t>
      </w:r>
      <w:r>
        <w:rPr>
          <w:rFonts w:ascii="宋体" w:hAnsi="宋体" w:cs="宋体" w:hint="eastAsia"/>
        </w:rPr>
        <w:t>》团体标准的目的和意义主要体现在以下几个方面：</w:t>
      </w:r>
    </w:p>
    <w:p w14:paraId="7645D6C4"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1.目的</w:t>
      </w:r>
    </w:p>
    <w:p w14:paraId="704D0C8B" w14:textId="52DD2C15" w:rsidR="00203CDB" w:rsidRDefault="002A096E">
      <w:pPr>
        <w:pStyle w:val="ab"/>
        <w:widowControl/>
        <w:spacing w:beforeAutospacing="0" w:afterAutospacing="0" w:line="520" w:lineRule="exact"/>
        <w:ind w:firstLineChars="200" w:firstLine="480"/>
        <w:jc w:val="both"/>
        <w:rPr>
          <w:rFonts w:ascii="宋体" w:hAnsi="宋体" w:cs="宋体"/>
        </w:rPr>
      </w:pPr>
      <w:r w:rsidRPr="002A096E">
        <w:rPr>
          <w:rFonts w:ascii="宋体" w:hAnsi="宋体" w:cs="宋体"/>
        </w:rPr>
        <w:lastRenderedPageBreak/>
        <w:t>数据中心用固态变压器（SST）作为新型电力电子变换装备，是数据中心供配电系统的核心枢纽，承担着中高压交直流转换、电能质量治理、高效能量传输的关键职能，其性能直接决定数据中心的供电效率、算力稳定性与运行安全性。广泛适配超大规模智算中心、AI 算力集群、分布式光伏储能配套等核心场景，既能满足 10kV 中压交流直转 800V 直流的高效变换需求，又能在高负载波动、复杂电磁环境下维持稳定输出，同时具备高功率密度、低损耗、无油化安全设计等特性，为数据中心实现高密度算力支撑、绿色低碳运行提供核心保障，成为数字基础设施与新型电力系统融合领域的重要技术载体</w:t>
      </w:r>
      <w:r>
        <w:rPr>
          <w:rFonts w:ascii="宋体" w:hAnsi="宋体" w:cs="宋体" w:hint="eastAsia"/>
        </w:rPr>
        <w:t>。</w:t>
      </w:r>
    </w:p>
    <w:p w14:paraId="56E72DB3" w14:textId="70F8F6B6" w:rsidR="00203CDB" w:rsidRDefault="002A096E">
      <w:pPr>
        <w:pStyle w:val="ab"/>
        <w:widowControl/>
        <w:spacing w:beforeAutospacing="0" w:afterAutospacing="0" w:line="520" w:lineRule="exact"/>
        <w:ind w:firstLineChars="200" w:firstLine="480"/>
        <w:jc w:val="both"/>
        <w:rPr>
          <w:rFonts w:ascii="宋体" w:hAnsi="宋体" w:cs="宋体"/>
        </w:rPr>
      </w:pPr>
      <w:r w:rsidRPr="002A096E">
        <w:rPr>
          <w:rFonts w:ascii="宋体" w:hAnsi="宋体" w:cs="宋体"/>
        </w:rPr>
        <w:t>早期数据中心供电多采用 “工频变压器 + UPS+PDU” 的传统架构，设备层级多、转换效率低，仅能实现基础电压变换与电能输送功能。随着数字经济高速发展，AI 算力需求爆发式增长，服务器机架功率密度持续攀升，传统供电方案在效率、体积、响应速度等方面的短板日益凸显。近年来，宽禁带半导体（SiC/GaN）与高频磁芯技术的成熟，推动固态变压器朝着高效化、集成化、智能化演进，通过拓扑结构创新与核心器件升级，技术成熟度与场景适配性持续提升</w:t>
      </w:r>
      <w:r>
        <w:rPr>
          <w:rFonts w:ascii="宋体" w:hAnsi="宋体" w:cs="宋体" w:hint="eastAsia"/>
        </w:rPr>
        <w:t>。</w:t>
      </w:r>
    </w:p>
    <w:p w14:paraId="7DD119F2" w14:textId="0151E55F" w:rsidR="00203CDB" w:rsidRDefault="002A096E">
      <w:pPr>
        <w:pStyle w:val="ab"/>
        <w:widowControl/>
        <w:spacing w:beforeAutospacing="0" w:afterAutospacing="0" w:line="520" w:lineRule="exact"/>
        <w:ind w:firstLineChars="200" w:firstLine="480"/>
        <w:jc w:val="both"/>
        <w:rPr>
          <w:rFonts w:ascii="宋体" w:hAnsi="宋体" w:cs="宋体"/>
        </w:rPr>
      </w:pPr>
      <w:r w:rsidRPr="002A096E">
        <w:rPr>
          <w:rFonts w:ascii="宋体" w:hAnsi="宋体" w:cs="宋体"/>
        </w:rPr>
        <w:t>然而，当前行业发展中缺乏针对数据中心用固态变压器的统一技术规范，现有标准分散且针对性不足，导致不同企业产品在转换效率、绝缘耐压、动态响应、兼容性等关键指标上差异显著。部分产品存在性能虚标、稳定性不足、接口不统一等问题，不仅增加了用户选型与系统集成难度，还因运维标准不统一、互换性差导致应用成本攀升，制约了行业整体技术升级与规模化推广应用。制定相关标准的重要性与必要性愈发凸显：一方面，标准能明确固态变压器的性能阈值、测试方法与质量评价体系，划定行业质量底线，有效遏制劣质产品无序竞争；另一方面，统一的技术规范可提升不同品牌产品的兼容性与互换性，降低数据中心供配电系统集成与运维成本，推动产业链协同发展。同时，标准的建立能引导企业聚焦核心技术创新，助力国产固态变压器在高效化、高可靠性领域突破瓶颈，为数据中心产业高质量发展提供坚实支撑</w:t>
      </w:r>
      <w:r>
        <w:rPr>
          <w:rFonts w:ascii="宋体" w:hAnsi="宋体" w:cs="宋体" w:hint="eastAsia"/>
        </w:rPr>
        <w:t>。</w:t>
      </w:r>
    </w:p>
    <w:p w14:paraId="59DD44A9"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2.意义</w:t>
      </w:r>
    </w:p>
    <w:p w14:paraId="189FE907" w14:textId="390D5094" w:rsidR="00203CDB" w:rsidRDefault="002A096E">
      <w:pPr>
        <w:pStyle w:val="ab"/>
        <w:widowControl/>
        <w:spacing w:beforeAutospacing="0" w:afterAutospacing="0" w:line="520" w:lineRule="exact"/>
        <w:ind w:firstLineChars="200" w:firstLine="480"/>
        <w:jc w:val="both"/>
        <w:rPr>
          <w:rFonts w:ascii="宋体" w:hAnsi="宋体" w:cs="宋体"/>
        </w:rPr>
      </w:pPr>
      <w:r w:rsidRPr="002A096E">
        <w:rPr>
          <w:rFonts w:ascii="宋体" w:hAnsi="宋体" w:cs="宋体"/>
        </w:rPr>
        <w:lastRenderedPageBreak/>
        <w:t>近年来，国家高度重视数字经济与新型电力系统融合发展，陆续出台《节能装备高质量发展实施方案（2026—2028 年）》《关于更高水平更高质量做好节能降碳工作的意见》等政策文件，其中明确指出，要将大容量固态变压器列为国家战略级节能装备重点推广方向，明确支持 “高效化、集成化、智能化” 电力电子装备研发，深入推进标准化工作，加快基础共性和关键技术标准制修订，为数据中心节能降碳与算力基础设施高质量发展提供政策支撑。为积极响应我国政策，推进数字基础设施领域标准化体系建设，促进数据中心行业实现绿色低碳、高效可靠发展</w:t>
      </w:r>
      <w:r>
        <w:rPr>
          <w:rFonts w:ascii="宋体" w:hAnsi="宋体" w:cs="宋体" w:hint="eastAsia"/>
        </w:rPr>
        <w:t>，亟需组织相关机构开展《</w:t>
      </w:r>
      <w:r w:rsidR="00A640FD">
        <w:rPr>
          <w:rFonts w:ascii="宋体" w:hAnsi="宋体" w:cs="宋体" w:hint="eastAsia"/>
        </w:rPr>
        <w:t>固态变压器 第2部分：数据中心用固态变压器</w:t>
      </w:r>
      <w:r>
        <w:rPr>
          <w:rFonts w:ascii="宋体" w:hAnsi="宋体" w:cs="宋体" w:hint="eastAsia"/>
        </w:rPr>
        <w:t>》的标准制定，为行业标准化能力提升提供标准依据和技术支撑。</w:t>
      </w:r>
    </w:p>
    <w:bookmarkEnd w:id="0"/>
    <w:p w14:paraId="49BB7F05"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（四）主要工作过程</w:t>
      </w:r>
    </w:p>
    <w:p w14:paraId="3904B59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1.前期准备工作</w:t>
      </w:r>
    </w:p>
    <w:p w14:paraId="04B816D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项目立项前，标准编制小组查阅、研读相关国内外文献，广泛搜集相关的材料。同时，标准编制小组安排相关人员，多次与相关行业人员进行调研、交流，广泛征求标准制定方面的意见和建议。</w:t>
      </w:r>
    </w:p>
    <w:p w14:paraId="2551D30F" w14:textId="134F9AC4"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2026年4月</w:t>
      </w:r>
      <w:r w:rsidR="002A096E">
        <w:rPr>
          <w:rFonts w:ascii="宋体" w:hAnsi="宋体" w:cs="宋体" w:hint="eastAsia"/>
        </w:rPr>
        <w:t>22</w:t>
      </w:r>
      <w:r>
        <w:rPr>
          <w:rFonts w:ascii="宋体" w:hAnsi="宋体" w:cs="宋体" w:hint="eastAsia"/>
        </w:rPr>
        <w:t>日本团体标准由中国欧洲经济技术合作协会正式立项，立项名称为：《</w:t>
      </w:r>
      <w:r w:rsidR="00A640FD">
        <w:rPr>
          <w:rFonts w:ascii="宋体" w:hAnsi="宋体" w:cs="宋体" w:hint="eastAsia"/>
        </w:rPr>
        <w:t>固态变压器 第2部分：数据中心用固态变压器</w:t>
      </w:r>
      <w:r>
        <w:rPr>
          <w:rFonts w:ascii="宋体" w:hAnsi="宋体" w:cs="宋体" w:hint="eastAsia"/>
        </w:rPr>
        <w:t>》。</w:t>
      </w:r>
    </w:p>
    <w:p w14:paraId="4F1AB7D2"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2.标准起草过程</w:t>
      </w:r>
    </w:p>
    <w:p w14:paraId="4F0AD72B"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2026年4月，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2026年5月初完成了标准初稿及编制说明的撰写工作。</w:t>
      </w:r>
    </w:p>
    <w:p w14:paraId="6DED6B54"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标准编制原则和依据</w:t>
      </w:r>
    </w:p>
    <w:p w14:paraId="483B6622"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（一）编制原则</w:t>
      </w:r>
    </w:p>
    <w:p w14:paraId="29CA007E"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标准起草小组在编制标准过程中，以国家、行业现有的标准为制订基础，结合我国目前的行业现状，按照GB/T 1.1—2020《标准化工作导则 第1部分：标准化文件的结构和起草规则》的规定及相关要求编制。</w:t>
      </w:r>
    </w:p>
    <w:p w14:paraId="4581A8F5"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（二）标准主要内容与确定依据</w:t>
      </w:r>
    </w:p>
    <w:p w14:paraId="1A3B87E9"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1.标准主要内容</w:t>
      </w:r>
    </w:p>
    <w:p w14:paraId="78D9C55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1.1 范围</w:t>
      </w:r>
    </w:p>
    <w:p w14:paraId="55758B2D" w14:textId="5D146201" w:rsidR="00203CDB" w:rsidRDefault="006A7FCD">
      <w:pPr>
        <w:pStyle w:val="ab"/>
        <w:widowControl/>
        <w:spacing w:beforeAutospacing="0" w:afterAutospacing="0" w:line="520" w:lineRule="exact"/>
        <w:ind w:firstLineChars="200" w:firstLine="480"/>
        <w:jc w:val="both"/>
        <w:rPr>
          <w:rFonts w:ascii="宋体" w:hAnsi="宋体" w:cs="宋体"/>
        </w:rPr>
      </w:pPr>
      <w:r w:rsidRPr="006A7FCD">
        <w:rPr>
          <w:rFonts w:ascii="宋体" w:hAnsi="宋体" w:cs="宋体"/>
        </w:rPr>
        <w:t>本文件规定了数据中心用固态变压器（以下简称“固态变压器”）的术语和定义、缩略语、</w:t>
      </w:r>
      <w:bookmarkStart w:id="1" w:name="OLE_LINK3"/>
      <w:r w:rsidRPr="006A7FCD">
        <w:rPr>
          <w:rFonts w:ascii="宋体" w:hAnsi="宋体" w:cs="宋体"/>
        </w:rPr>
        <w:t>系统组成</w:t>
      </w:r>
      <w:bookmarkEnd w:id="1"/>
      <w:r w:rsidRPr="006A7FCD">
        <w:rPr>
          <w:rFonts w:ascii="宋体" w:hAnsi="宋体" w:cs="宋体"/>
        </w:rPr>
        <w:t>、容量及外观结构、基本要求、 固态变压器技术要求、试验项目及方法、检验规则、标志、包装、运输和贮存</w:t>
      </w:r>
      <w:r>
        <w:rPr>
          <w:rFonts w:ascii="宋体" w:hAnsi="宋体" w:cs="宋体" w:hint="eastAsia"/>
        </w:rPr>
        <w:t>。</w:t>
      </w:r>
    </w:p>
    <w:p w14:paraId="706C3A82" w14:textId="77777777" w:rsidR="006A7FCD" w:rsidRPr="006A7FCD" w:rsidRDefault="006A7FCD" w:rsidP="00272365">
      <w:pPr>
        <w:pStyle w:val="ab"/>
        <w:widowControl/>
        <w:spacing w:beforeAutospacing="0" w:afterAutospacing="0" w:line="520" w:lineRule="exact"/>
        <w:ind w:firstLineChars="200" w:firstLine="480"/>
        <w:jc w:val="both"/>
        <w:rPr>
          <w:rFonts w:ascii="宋体" w:hAnsi="宋体" w:cs="宋体"/>
        </w:rPr>
      </w:pPr>
      <w:r w:rsidRPr="006A7FCD">
        <w:rPr>
          <w:rFonts w:ascii="宋体" w:hAnsi="宋体" w:cs="宋体" w:hint="eastAsia"/>
        </w:rPr>
        <w:t>本文件适用于数据中心和通信机房，基于输入串联输出并联架构实现的输入电压等级为交流10kV～35kV标称直流电压为240Vdc/336Vdc/800Vdc等的固态变压器。</w:t>
      </w:r>
    </w:p>
    <w:p w14:paraId="19692A12" w14:textId="030D8411" w:rsidR="00203CDB" w:rsidRDefault="006A7FCD" w:rsidP="006A7FCD">
      <w:pPr>
        <w:pStyle w:val="ab"/>
        <w:widowControl/>
        <w:spacing w:beforeAutospacing="0" w:afterAutospacing="0" w:line="520" w:lineRule="exact"/>
        <w:ind w:firstLineChars="200" w:firstLine="480"/>
        <w:jc w:val="both"/>
        <w:rPr>
          <w:rFonts w:ascii="宋体" w:hAnsi="宋体" w:cs="宋体"/>
        </w:rPr>
      </w:pPr>
      <w:r w:rsidRPr="006A7FCD">
        <w:rPr>
          <w:rFonts w:ascii="宋体" w:hAnsi="宋体" w:cs="宋体" w:hint="eastAsia"/>
        </w:rPr>
        <w:t>本文件也适用于采用高频功率半导体器件（如SiC、GaN）实现高效、高功率密度设计的固态变压器</w:t>
      </w:r>
      <w:r>
        <w:rPr>
          <w:rFonts w:ascii="宋体" w:hAnsi="宋体" w:cs="宋体" w:hint="eastAsia"/>
        </w:rPr>
        <w:t>。</w:t>
      </w:r>
    </w:p>
    <w:p w14:paraId="727FBD84"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1.2 规范性引用文件</w:t>
      </w:r>
    </w:p>
    <w:p w14:paraId="29966E03"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GB/T 191  包装储运图示标志</w:t>
      </w:r>
    </w:p>
    <w:p w14:paraId="14E40072"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762-2002 标准电流等级</w:t>
      </w:r>
    </w:p>
    <w:p w14:paraId="09F1CFA3"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1094.11-2022  电力变压器  第11部分：干式变压器</w:t>
      </w:r>
    </w:p>
    <w:p w14:paraId="1CB758DD"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3859.2-2013 半导体变流器 通用要求和电网换相变流器 第1-2部分：应用导则</w:t>
      </w:r>
    </w:p>
    <w:p w14:paraId="40D8D60D"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3873-1983 通信设备产品包装通用技术条件</w:t>
      </w:r>
    </w:p>
    <w:p w14:paraId="59987A4D"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bookmarkStart w:id="2" w:name="OLE_LINK19"/>
      <w:r w:rsidRPr="00C60047">
        <w:rPr>
          <w:rFonts w:ascii="宋体" w:hAnsi="宋体" w:cs="宋体" w:hint="eastAsia"/>
        </w:rPr>
        <w:t>GB/T 3906-2020</w:t>
      </w:r>
      <w:bookmarkEnd w:id="2"/>
      <w:r w:rsidRPr="00C60047">
        <w:rPr>
          <w:rFonts w:ascii="宋体" w:hAnsi="宋体" w:cs="宋体" w:hint="eastAsia"/>
        </w:rPr>
        <w:t xml:space="preserve"> 3.6kV～40.5kV交流金属封闭开关设备和控制设备</w:t>
      </w:r>
    </w:p>
    <w:p w14:paraId="4998C40C"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4208-2017 外壳防护等级 （IP  代码）</w:t>
      </w:r>
    </w:p>
    <w:p w14:paraId="04A5E5AB"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 4943.1-2022 音视频、信息技术和通信技术设备 第1部分：安全要求</w:t>
      </w:r>
    </w:p>
    <w:p w14:paraId="6B687469"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5169.16-2017 电工电子产品着火危险试验第16部分：试验火焰.50W 水平与垂直火焰试验 方法</w:t>
      </w:r>
    </w:p>
    <w:p w14:paraId="2146CF31"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7251.1-2023 低压成套开关设备和控制设备 第1部分：总则</w:t>
      </w:r>
    </w:p>
    <w:p w14:paraId="348745C5"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7251.2-2013 低压成套开关设备和控制设备  第2部分：成套电力开关和控制设备</w:t>
      </w:r>
    </w:p>
    <w:p w14:paraId="448C6E88"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11022-2020 高压交流开关设备和控制设备标准的共用技术要求</w:t>
      </w:r>
    </w:p>
    <w:p w14:paraId="5A793AAF"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lastRenderedPageBreak/>
        <w:t>GB/T 12325 电能质量 供电电压偏差</w:t>
      </w:r>
    </w:p>
    <w:p w14:paraId="77CD3F43"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12326 电能质量 电压波动和闪变</w:t>
      </w:r>
    </w:p>
    <w:p w14:paraId="1800D891"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14549 电能质量 公用电网谐波</w:t>
      </w:r>
    </w:p>
    <w:p w14:paraId="7380E374"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bookmarkStart w:id="3" w:name="OLE_LINK20"/>
      <w:r w:rsidRPr="00C60047">
        <w:rPr>
          <w:rFonts w:ascii="宋体" w:hAnsi="宋体" w:cs="宋体" w:hint="eastAsia"/>
        </w:rPr>
        <w:t>GB/T 15543</w:t>
      </w:r>
      <w:bookmarkEnd w:id="3"/>
      <w:r w:rsidRPr="00C60047">
        <w:rPr>
          <w:rFonts w:ascii="宋体" w:hAnsi="宋体" w:cs="宋体" w:hint="eastAsia"/>
        </w:rPr>
        <w:t xml:space="preserve"> 电能质量 三相电压不平衡</w:t>
      </w:r>
    </w:p>
    <w:p w14:paraId="32A2BC7F"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15945  电能质量 电力系统频率偏</w:t>
      </w:r>
    </w:p>
    <w:p w14:paraId="28262895"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17626.2-2018 电磁兼容 试验和测量技术 静电放电抗扰度试验</w:t>
      </w:r>
    </w:p>
    <w:p w14:paraId="5AEFAACD"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18380.11-2022 电缆和光缆在火焰条件下的燃烧试验 第11部分：单根绝缘电线电缆火焰垂直蔓延试验 试验装置</w:t>
      </w:r>
    </w:p>
    <w:p w14:paraId="37787009"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19666-2019 阻燃和耐火电线电缆或光缆通则</w:t>
      </w:r>
    </w:p>
    <w:p w14:paraId="226EE2E3" w14:textId="77777777" w:rsidR="00C60047" w:rsidRPr="00C60047" w:rsidRDefault="00C60047" w:rsidP="00C60047">
      <w:pPr>
        <w:pStyle w:val="ab"/>
        <w:widowControl/>
        <w:spacing w:beforeAutospacing="0" w:afterAutospacing="0" w:line="520" w:lineRule="exact"/>
        <w:ind w:firstLineChars="200" w:firstLine="480"/>
        <w:jc w:val="both"/>
        <w:rPr>
          <w:rFonts w:ascii="宋体" w:hAnsi="宋体" w:cs="宋体"/>
        </w:rPr>
      </w:pPr>
      <w:bookmarkStart w:id="4" w:name="OLE_LINK21"/>
      <w:r w:rsidRPr="00C60047">
        <w:rPr>
          <w:rFonts w:ascii="宋体" w:hAnsi="宋体" w:cs="宋体" w:hint="eastAsia"/>
        </w:rPr>
        <w:t>GB/T 20645-2021</w:t>
      </w:r>
      <w:bookmarkEnd w:id="4"/>
      <w:r w:rsidRPr="00C60047">
        <w:rPr>
          <w:rFonts w:ascii="宋体" w:hAnsi="宋体" w:cs="宋体" w:hint="eastAsia"/>
        </w:rPr>
        <w:t xml:space="preserve">  特殊环境条件 高原用低压电器技术要求</w:t>
      </w:r>
    </w:p>
    <w:p w14:paraId="7588396D" w14:textId="1302DB3C" w:rsidR="00203CDB" w:rsidRDefault="00C60047" w:rsidP="00C60047">
      <w:pPr>
        <w:pStyle w:val="ab"/>
        <w:widowControl/>
        <w:spacing w:beforeAutospacing="0" w:afterAutospacing="0" w:line="520" w:lineRule="exact"/>
        <w:ind w:firstLineChars="200" w:firstLine="480"/>
        <w:jc w:val="both"/>
        <w:rPr>
          <w:rFonts w:ascii="宋体" w:hAnsi="宋体" w:cs="宋体"/>
        </w:rPr>
      </w:pPr>
      <w:r w:rsidRPr="00C60047">
        <w:rPr>
          <w:rFonts w:ascii="宋体" w:hAnsi="宋体" w:cs="宋体" w:hint="eastAsia"/>
        </w:rPr>
        <w:t>GB/T 38833-2020 信息通信用240V/336V 直流供电系统技术要求和试验方法</w:t>
      </w:r>
    </w:p>
    <w:p w14:paraId="75C59F2C" w14:textId="32D3EEDD" w:rsidR="00C60047" w:rsidRDefault="00C60047" w:rsidP="00C60047">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1.3术语和定义</w:t>
      </w:r>
    </w:p>
    <w:p w14:paraId="3C327002" w14:textId="5D774519" w:rsidR="00C60047" w:rsidRDefault="00C60047" w:rsidP="00C60047">
      <w:pPr>
        <w:pStyle w:val="ab"/>
        <w:widowControl/>
        <w:spacing w:beforeAutospacing="0" w:afterAutospacing="0" w:line="520" w:lineRule="exact"/>
        <w:ind w:firstLineChars="200" w:firstLine="480"/>
        <w:jc w:val="both"/>
        <w:rPr>
          <w:rFonts w:ascii="宋体" w:hAnsi="宋体" w:cs="宋体"/>
        </w:rPr>
      </w:pPr>
      <w:bookmarkStart w:id="5" w:name="OLE_LINK4"/>
      <w:r>
        <w:rPr>
          <w:rFonts w:ascii="宋体" w:hAnsi="宋体" w:cs="宋体" w:hint="eastAsia"/>
        </w:rPr>
        <w:t>对数据中心用固态变压器的</w:t>
      </w:r>
      <w:bookmarkEnd w:id="5"/>
      <w:r>
        <w:rPr>
          <w:rFonts w:ascii="宋体" w:hAnsi="宋体" w:cs="宋体" w:hint="eastAsia"/>
        </w:rPr>
        <w:t>术语和定义进行规定</w:t>
      </w:r>
      <w:r w:rsidR="00CC599E">
        <w:rPr>
          <w:rFonts w:ascii="宋体" w:hAnsi="宋体" w:cs="宋体" w:hint="eastAsia"/>
        </w:rPr>
        <w:t>。</w:t>
      </w:r>
    </w:p>
    <w:p w14:paraId="060FF526" w14:textId="4CFEDE4B"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 xml:space="preserve">1.4 </w:t>
      </w:r>
      <w:r w:rsidR="00DA266B" w:rsidRPr="006A7FCD">
        <w:rPr>
          <w:rFonts w:ascii="宋体" w:hAnsi="宋体" w:cs="宋体"/>
        </w:rPr>
        <w:t>系统组成</w:t>
      </w:r>
    </w:p>
    <w:p w14:paraId="2D3C71AC" w14:textId="2EDC47A8" w:rsidR="00203CDB" w:rsidRDefault="00DA266B">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bookmarkStart w:id="6" w:name="OLE_LINK5"/>
      <w:r>
        <w:rPr>
          <w:rFonts w:ascii="宋体" w:hAnsi="宋体" w:cs="宋体" w:hint="eastAsia"/>
        </w:rPr>
        <w:t>数据中心用固态变压器</w:t>
      </w:r>
      <w:bookmarkEnd w:id="6"/>
      <w:r>
        <w:rPr>
          <w:rFonts w:ascii="宋体" w:hAnsi="宋体" w:cs="宋体" w:hint="eastAsia"/>
        </w:rPr>
        <w:t>的系统组成进行规定。</w:t>
      </w:r>
    </w:p>
    <w:p w14:paraId="02E1962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1.5 技术要求</w:t>
      </w:r>
    </w:p>
    <w:p w14:paraId="234AE2CA" w14:textId="4023002D"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5E7999">
        <w:rPr>
          <w:rFonts w:ascii="宋体" w:hAnsi="宋体" w:cs="宋体" w:hint="eastAsia"/>
        </w:rPr>
        <w:t>数据中心用固态变压器的技术要求</w:t>
      </w:r>
      <w:r>
        <w:rPr>
          <w:rFonts w:ascii="宋体" w:hAnsi="宋体" w:cs="宋体" w:hint="eastAsia"/>
        </w:rPr>
        <w:t>进行规定。</w:t>
      </w:r>
    </w:p>
    <w:p w14:paraId="0AEB19D5"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1.6 试验方法</w:t>
      </w:r>
    </w:p>
    <w:p w14:paraId="784ABE91" w14:textId="3117A2A5"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bookmarkStart w:id="7" w:name="OLE_LINK6"/>
      <w:r w:rsidR="005E7999">
        <w:rPr>
          <w:rFonts w:ascii="宋体" w:hAnsi="宋体" w:cs="宋体" w:hint="eastAsia"/>
        </w:rPr>
        <w:t>数据中心用固态变压器的</w:t>
      </w:r>
      <w:bookmarkEnd w:id="7"/>
      <w:r w:rsidR="005E7999">
        <w:rPr>
          <w:rFonts w:ascii="宋体" w:hAnsi="宋体" w:cs="宋体" w:hint="eastAsia"/>
        </w:rPr>
        <w:t>试验方法</w:t>
      </w:r>
      <w:r>
        <w:rPr>
          <w:rFonts w:ascii="宋体" w:hAnsi="宋体" w:cs="宋体" w:hint="eastAsia"/>
        </w:rPr>
        <w:t>进行规定。</w:t>
      </w:r>
    </w:p>
    <w:p w14:paraId="667DB7BC"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1.7 检验规则</w:t>
      </w:r>
    </w:p>
    <w:p w14:paraId="7FFE9942" w14:textId="018F7AC2"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E316AC">
        <w:rPr>
          <w:rFonts w:ascii="宋体" w:hAnsi="宋体" w:cs="宋体" w:hint="eastAsia"/>
        </w:rPr>
        <w:t>数据中心用固态变压器的</w:t>
      </w:r>
      <w:r>
        <w:rPr>
          <w:rFonts w:ascii="宋体" w:hAnsi="宋体" w:cs="宋体" w:hint="eastAsia"/>
        </w:rPr>
        <w:t>检验规则进行规定</w:t>
      </w:r>
    </w:p>
    <w:p w14:paraId="654A83BE"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1.8 标志、包装、运输和贮存</w:t>
      </w:r>
    </w:p>
    <w:p w14:paraId="76ACF925" w14:textId="08B2D690"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E316AC">
        <w:rPr>
          <w:rFonts w:ascii="宋体" w:hAnsi="宋体" w:cs="宋体" w:hint="eastAsia"/>
        </w:rPr>
        <w:t>数据中心用固态变压器</w:t>
      </w:r>
      <w:r>
        <w:rPr>
          <w:rFonts w:ascii="宋体" w:hAnsi="宋体" w:cs="宋体" w:hint="eastAsia"/>
        </w:rPr>
        <w:t>的标志、包装、运输和贮存进行规定。</w:t>
      </w:r>
    </w:p>
    <w:p w14:paraId="64DEFA93"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2.确定标准主要内容的依据</w:t>
      </w:r>
    </w:p>
    <w:p w14:paraId="593FB63D" w14:textId="59298FD0" w:rsidR="00203CDB" w:rsidRDefault="009E0090">
      <w:pPr>
        <w:pStyle w:val="ab"/>
        <w:widowControl/>
        <w:spacing w:beforeAutospacing="0" w:afterAutospacing="0" w:line="520" w:lineRule="exact"/>
        <w:ind w:firstLineChars="200" w:firstLine="480"/>
        <w:jc w:val="both"/>
        <w:rPr>
          <w:rFonts w:ascii="宋体" w:hAnsi="宋体" w:cs="宋体"/>
        </w:rPr>
      </w:pPr>
      <w:r w:rsidRPr="009E0090">
        <w:rPr>
          <w:rFonts w:ascii="宋体" w:hAnsi="宋体" w:cs="宋体"/>
        </w:rPr>
        <w:t>本标准主要内容依据国家《节能装备高质量发展实施方案（2026—2028年）》《</w:t>
      </w:r>
      <w:bookmarkStart w:id="8" w:name="OLE_LINK7"/>
      <w:r w:rsidRPr="009E0090">
        <w:rPr>
          <w:rFonts w:ascii="宋体" w:hAnsi="宋体" w:cs="宋体"/>
        </w:rPr>
        <w:t>关于更高水平更高质量做好节能降碳工作的意见</w:t>
      </w:r>
      <w:bookmarkEnd w:id="8"/>
      <w:r w:rsidRPr="009E0090">
        <w:rPr>
          <w:rFonts w:ascii="宋体" w:hAnsi="宋体" w:cs="宋体"/>
        </w:rPr>
        <w:t>》等政策文件中关于高效化、集成化、智</w:t>
      </w:r>
      <w:r w:rsidRPr="009E0090">
        <w:rPr>
          <w:rFonts w:ascii="宋体" w:hAnsi="宋体" w:cs="宋体"/>
        </w:rPr>
        <w:lastRenderedPageBreak/>
        <w:t>能化电力电子装备研发与标准体系建设的要求确定，严格按照 GB/T 1.1—2020《标准化工作导则 第 1 部分：标准化文件的结构和起草规则》编制，全面引用GB/T 2423系列、</w:t>
      </w:r>
      <w:r w:rsidR="00332B44" w:rsidRPr="00332B44">
        <w:rPr>
          <w:rFonts w:ascii="宋体" w:hAnsi="宋体" w:cs="宋体"/>
        </w:rPr>
        <w:t>GB/T 3906-2020</w:t>
      </w:r>
      <w:r w:rsidRPr="009E0090">
        <w:rPr>
          <w:rFonts w:ascii="宋体" w:hAnsi="宋体" w:cs="宋体"/>
        </w:rPr>
        <w:t>、</w:t>
      </w:r>
      <w:r w:rsidR="00332B44" w:rsidRPr="00332B44">
        <w:rPr>
          <w:rFonts w:ascii="宋体" w:hAnsi="宋体" w:cs="宋体"/>
        </w:rPr>
        <w:t>GB/T 20645-2021</w:t>
      </w:r>
      <w:r w:rsidRPr="009E0090">
        <w:rPr>
          <w:rFonts w:ascii="宋体" w:hAnsi="宋体" w:cs="宋体"/>
        </w:rPr>
        <w:t>等国内外现行有效标准，结合数据中心超大规模智算集群、AI算力机架、分布式光伏储能配套、边缘计算中心等实际应用场景的工况需求，聚焦高功率密度、高效转换、低损耗、绝缘耐压、电磁兼容、动态负载响应等核心性能指标，同时基于主流固态变压器企业量产工艺、核心器件选型、拓扑结构设计数据，兼顾技术先进性与产业可实现性，针对当前行业缺乏统一技术规范、性能指标差异大、设备兼容性不足、质量参差不齐、用户选型困难、运维标准不统一等突出问题，明确技术要求、试验方法、检验规则及标志、包装、运输、贮存等内容，形成科学合理、可落地执行的标准条款</w:t>
      </w:r>
      <w:r>
        <w:rPr>
          <w:rFonts w:ascii="宋体" w:hAnsi="宋体" w:cs="宋体" w:hint="eastAsia"/>
        </w:rPr>
        <w:t>。</w:t>
      </w:r>
    </w:p>
    <w:p w14:paraId="7C3F1E05"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主要试验[或验证]情况分析、技术经济论证、预期经济效果</w:t>
      </w:r>
    </w:p>
    <w:p w14:paraId="1C6F9A2F" w14:textId="33EB5F78" w:rsidR="00203CDB" w:rsidRDefault="009E0090">
      <w:pPr>
        <w:pStyle w:val="ab"/>
        <w:widowControl/>
        <w:spacing w:beforeAutospacing="0" w:afterAutospacing="0" w:line="520" w:lineRule="exact"/>
        <w:ind w:firstLineChars="200" w:firstLine="480"/>
        <w:jc w:val="both"/>
        <w:rPr>
          <w:rFonts w:ascii="宋体" w:hAnsi="宋体" w:cs="宋体"/>
        </w:rPr>
      </w:pPr>
      <w:r w:rsidRPr="009E0090">
        <w:rPr>
          <w:rFonts w:ascii="宋体" w:hAnsi="宋体" w:cs="宋体"/>
        </w:rPr>
        <w:t>本标准编制过程中选取多家起草单位固态变压器样品，依据标准规定开展转换效率、功率因数、绝缘耐压、电磁兼容、动态负载响应等电气性能测试，以及高温、低温、恒定湿热、温度/湿度/电磁干扰综合、盐雾、振动、冲击等环境适应性试验，同时开展功率密度指标与接口兼容性验证，结果显示样品电气性能符合</w:t>
      </w:r>
      <w:r w:rsidR="0059415D">
        <w:rPr>
          <w:rFonts w:ascii="宋体" w:hAnsi="宋体" w:cs="宋体" w:hint="eastAsia"/>
        </w:rPr>
        <w:t>相关标准的</w:t>
      </w:r>
      <w:r w:rsidRPr="009E0090">
        <w:rPr>
          <w:rFonts w:ascii="宋体" w:hAnsi="宋体" w:cs="宋体"/>
        </w:rPr>
        <w:t>要求，环境适应能力满足数据中心高负载、复杂电磁环境与24小时不间断运行需求，设备损耗较传统工频变压器降低30%～50%，不同厂家产品在主流数据中心供配电架构中具备良好互换性与集成兼容性，标准规定指标科学合理、可验证、可实现；从技术经济论证来看，标准指标基于成熟量产工艺制定，企业无需大幅改造产线即可达标，技术可行性高，统一技术规范可显著减少定制开发、兼容调试、售后运维等成本，提升供配电系统集成效率，同时规范行业质量底线，引导企业聚焦宽禁带半导体应用、拓扑结构优化与能效提升，增强国产固态变压器核心竞争力；预期实施后可推动数据中心用固态变压器行业规范化、规模化、集约化发展，有效遏制劣质产品与无序竞争，降低产业链整体成本，提升国产产品市场公信力与全球竞争力，有力支撑超大规模智算、AI算力、边缘计算等领域高效运行，为数字经济与新型电力系统融合发展提供关键电力装备标准支撑，带来显著产业效益与社会效益</w:t>
      </w:r>
      <w:r>
        <w:rPr>
          <w:rFonts w:ascii="宋体" w:hAnsi="宋体" w:cs="宋体" w:hint="eastAsia"/>
        </w:rPr>
        <w:t>。</w:t>
      </w:r>
    </w:p>
    <w:p w14:paraId="007AB400"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lastRenderedPageBreak/>
        <w:t>与有关的现行法律、法规和强制性国家标准的关系</w:t>
      </w:r>
    </w:p>
    <w:p w14:paraId="7E581CF1" w14:textId="77777777" w:rsidR="00203CDB" w:rsidRDefault="00000000">
      <w:pPr>
        <w:pStyle w:val="ab"/>
        <w:widowControl/>
        <w:spacing w:beforeAutospacing="0" w:afterAutospacing="0" w:line="520" w:lineRule="exact"/>
        <w:ind w:firstLineChars="200" w:firstLine="480"/>
        <w:jc w:val="both"/>
        <w:rPr>
          <w:rFonts w:ascii="Times New Roman" w:hAnsi="Times New Roman"/>
        </w:rPr>
      </w:pPr>
      <w:r>
        <w:rPr>
          <w:rFonts w:ascii="宋体" w:hAnsi="宋体" w:cs="宋体" w:hint="eastAsia"/>
        </w:rPr>
        <w:t>本标准的制定过程、技术要求的选定、试验方法的确定、检验项目设置等符合现行法律、法规和强制性国家标准的规定。</w:t>
      </w:r>
    </w:p>
    <w:p w14:paraId="155B4B8E"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重大分歧意见的处理经过和依据</w:t>
      </w:r>
    </w:p>
    <w:p w14:paraId="6A6E4B4B" w14:textId="77777777" w:rsidR="00203CDB" w:rsidRDefault="00000000">
      <w:pPr>
        <w:pStyle w:val="a5"/>
        <w:spacing w:line="360" w:lineRule="auto"/>
        <w:ind w:firstLineChars="200" w:firstLine="480"/>
        <w:rPr>
          <w:rFonts w:ascii="Times New Roman" w:hAnsi="Times New Roman" w:cs="Times New Roman"/>
          <w:b w:val="0"/>
          <w:bCs w:val="0"/>
          <w:color w:val="auto"/>
          <w:sz w:val="24"/>
          <w:szCs w:val="24"/>
        </w:rPr>
      </w:pPr>
      <w:r>
        <w:rPr>
          <w:rFonts w:ascii="Times New Roman" w:hAnsi="Times New Roman" w:cs="Times New Roman" w:hint="eastAsia"/>
          <w:b w:val="0"/>
          <w:bCs w:val="0"/>
          <w:color w:val="auto"/>
          <w:sz w:val="24"/>
          <w:szCs w:val="24"/>
        </w:rPr>
        <w:t>无。</w:t>
      </w:r>
    </w:p>
    <w:p w14:paraId="244B6BBE"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废止现行有关标准的建议</w:t>
      </w:r>
    </w:p>
    <w:p w14:paraId="7C711649" w14:textId="77777777" w:rsidR="00203CDB" w:rsidRDefault="00000000">
      <w:pPr>
        <w:pStyle w:val="a5"/>
        <w:spacing w:line="360" w:lineRule="auto"/>
        <w:ind w:firstLineChars="200" w:firstLine="480"/>
        <w:rPr>
          <w:rFonts w:ascii="Times New Roman" w:hAnsi="Times New Roman" w:cs="Times New Roman"/>
          <w:b w:val="0"/>
          <w:bCs w:val="0"/>
          <w:color w:val="auto"/>
          <w:sz w:val="24"/>
          <w:szCs w:val="24"/>
        </w:rPr>
      </w:pPr>
      <w:r>
        <w:rPr>
          <w:rFonts w:ascii="Times New Roman" w:hAnsi="Times New Roman" w:cs="Times New Roman" w:hint="eastAsia"/>
          <w:b w:val="0"/>
          <w:bCs w:val="0"/>
          <w:color w:val="auto"/>
          <w:sz w:val="24"/>
          <w:szCs w:val="24"/>
        </w:rPr>
        <w:t>本标准不涉及对现行标准的废止。</w:t>
      </w:r>
    </w:p>
    <w:p w14:paraId="1970EC8D"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知识产权情况说明</w:t>
      </w:r>
    </w:p>
    <w:p w14:paraId="1C2FA4C8"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本文件不涉及必要专利等知识产权情况。</w:t>
      </w:r>
    </w:p>
    <w:p w14:paraId="6AD1520A"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标准作为强制性或推荐性标准的建议</w:t>
      </w:r>
    </w:p>
    <w:p w14:paraId="7B452B1C"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建议该标准作为推荐性团体标准。</w:t>
      </w:r>
    </w:p>
    <w:p w14:paraId="2793DD84"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贯彻标准的要求和措施建议，包括（组织措施、技术措施、过渡办法）</w:t>
      </w:r>
    </w:p>
    <w:p w14:paraId="6EA5CCAB"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本标准首次制定，没有特殊要求。</w:t>
      </w:r>
    </w:p>
    <w:p w14:paraId="69A9B368"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其他应予说明的事项</w:t>
      </w:r>
    </w:p>
    <w:p w14:paraId="2E547D37"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无。</w:t>
      </w:r>
      <w:r>
        <w:rPr>
          <w:rFonts w:ascii="Times New Roman" w:hAnsi="Times New Roman" w:cs="Times New Roman" w:hint="eastAsia"/>
          <w:sz w:val="24"/>
          <w:szCs w:val="24"/>
        </w:rPr>
        <w:t xml:space="preserve"> </w:t>
      </w:r>
    </w:p>
    <w:p w14:paraId="7A54780D" w14:textId="07FC81CA" w:rsidR="00203CDB" w:rsidRDefault="00000000">
      <w:pPr>
        <w:adjustRightInd/>
        <w:spacing w:line="520" w:lineRule="exact"/>
        <w:ind w:right="240"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w:t>
      </w:r>
      <w:r w:rsidR="00A640FD">
        <w:rPr>
          <w:rFonts w:ascii="Times New Roman" w:hAnsi="Times New Roman" w:cs="Times New Roman" w:hint="eastAsia"/>
          <w:sz w:val="24"/>
          <w:szCs w:val="24"/>
        </w:rPr>
        <w:t>固态变压器</w:t>
      </w:r>
      <w:r w:rsidR="00A640FD">
        <w:rPr>
          <w:rFonts w:ascii="Times New Roman" w:hAnsi="Times New Roman" w:cs="Times New Roman" w:hint="eastAsia"/>
          <w:sz w:val="24"/>
          <w:szCs w:val="24"/>
        </w:rPr>
        <w:t xml:space="preserve"> </w:t>
      </w:r>
      <w:r w:rsidR="00A640FD">
        <w:rPr>
          <w:rFonts w:ascii="Times New Roman" w:hAnsi="Times New Roman" w:cs="Times New Roman" w:hint="eastAsia"/>
          <w:sz w:val="24"/>
          <w:szCs w:val="24"/>
        </w:rPr>
        <w:t>第</w:t>
      </w:r>
      <w:r w:rsidR="00A640FD">
        <w:rPr>
          <w:rFonts w:ascii="Times New Roman" w:hAnsi="Times New Roman" w:cs="Times New Roman" w:hint="eastAsia"/>
          <w:sz w:val="24"/>
          <w:szCs w:val="24"/>
        </w:rPr>
        <w:t>2</w:t>
      </w:r>
      <w:r w:rsidR="00A640FD">
        <w:rPr>
          <w:rFonts w:ascii="Times New Roman" w:hAnsi="Times New Roman" w:cs="Times New Roman" w:hint="eastAsia"/>
          <w:sz w:val="24"/>
          <w:szCs w:val="24"/>
        </w:rPr>
        <w:t>部分：数据中心用固态变压器</w:t>
      </w:r>
      <w:r>
        <w:rPr>
          <w:rFonts w:ascii="Times New Roman" w:hAnsi="Times New Roman" w:cs="Times New Roman" w:hint="eastAsia"/>
          <w:sz w:val="24"/>
          <w:szCs w:val="24"/>
        </w:rPr>
        <w:t>》团体标准编制组</w:t>
      </w:r>
    </w:p>
    <w:p w14:paraId="158E7918" w14:textId="77777777" w:rsidR="00203CDB" w:rsidRDefault="00000000">
      <w:pPr>
        <w:adjustRightInd/>
        <w:spacing w:line="520" w:lineRule="exact"/>
        <w:ind w:right="240" w:firstLineChars="200" w:firstLine="480"/>
        <w:jc w:val="righ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2026年5月</w:t>
      </w:r>
    </w:p>
    <w:sectPr w:rsidR="00203CDB">
      <w:footerReference w:type="default" r:id="rId8"/>
      <w:footerReference w:type="first" r:id="rId9"/>
      <w:pgSz w:w="11906" w:h="16838"/>
      <w:pgMar w:top="1474" w:right="1474" w:bottom="1474"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4309" w14:textId="77777777" w:rsidR="0069341D" w:rsidRDefault="0069341D">
      <w:pPr>
        <w:spacing w:line="240" w:lineRule="auto"/>
      </w:pPr>
      <w:r>
        <w:separator/>
      </w:r>
    </w:p>
  </w:endnote>
  <w:endnote w:type="continuationSeparator" w:id="0">
    <w:p w14:paraId="1DFC8BAC" w14:textId="77777777" w:rsidR="0069341D" w:rsidRDefault="0069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3101" w14:textId="77777777" w:rsidR="00203CDB"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1E1E1DC5" wp14:editId="0468C9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7FB7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E1DC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77FB7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5C24" w14:textId="77777777" w:rsidR="00203CDB" w:rsidRDefault="00000000">
    <w:pPr>
      <w:pStyle w:val="a7"/>
    </w:pPr>
    <w:r>
      <w:rPr>
        <w:noProof/>
      </w:rPr>
      <mc:AlternateContent>
        <mc:Choice Requires="wps">
          <w:drawing>
            <wp:anchor distT="0" distB="0" distL="114300" distR="114300" simplePos="0" relativeHeight="251660288" behindDoc="0" locked="0" layoutInCell="1" allowOverlap="1" wp14:anchorId="42F445A4" wp14:editId="30207E5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BC0A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F445A4"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9BC0A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53A5" w14:textId="77777777" w:rsidR="0069341D" w:rsidRDefault="0069341D">
      <w:pPr>
        <w:spacing w:line="240" w:lineRule="auto"/>
      </w:pPr>
      <w:r>
        <w:separator/>
      </w:r>
    </w:p>
  </w:footnote>
  <w:footnote w:type="continuationSeparator" w:id="0">
    <w:p w14:paraId="7CA4D254" w14:textId="77777777" w:rsidR="0069341D" w:rsidRDefault="006934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7EA28"/>
    <w:multiLevelType w:val="singleLevel"/>
    <w:tmpl w:val="DF77EA28"/>
    <w:lvl w:ilvl="0">
      <w:start w:val="1"/>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83"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49214036">
    <w:abstractNumId w:val="1"/>
  </w:num>
  <w:num w:numId="2" w16cid:durableId="62161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03CDB"/>
    <w:rsid w:val="0022665B"/>
    <w:rsid w:val="002352BD"/>
    <w:rsid w:val="00272365"/>
    <w:rsid w:val="002A096E"/>
    <w:rsid w:val="002D5E86"/>
    <w:rsid w:val="00316E46"/>
    <w:rsid w:val="00332B44"/>
    <w:rsid w:val="00396248"/>
    <w:rsid w:val="00480E96"/>
    <w:rsid w:val="004A39DC"/>
    <w:rsid w:val="00582A2F"/>
    <w:rsid w:val="0059415D"/>
    <w:rsid w:val="005C11CB"/>
    <w:rsid w:val="005E679A"/>
    <w:rsid w:val="005E7999"/>
    <w:rsid w:val="00656B83"/>
    <w:rsid w:val="0069157B"/>
    <w:rsid w:val="0069341D"/>
    <w:rsid w:val="006A7FCD"/>
    <w:rsid w:val="006D57C9"/>
    <w:rsid w:val="00780B13"/>
    <w:rsid w:val="007A6776"/>
    <w:rsid w:val="00877D40"/>
    <w:rsid w:val="00920FC6"/>
    <w:rsid w:val="009365DD"/>
    <w:rsid w:val="00953173"/>
    <w:rsid w:val="00953DD1"/>
    <w:rsid w:val="009B2A7D"/>
    <w:rsid w:val="009C2282"/>
    <w:rsid w:val="009E0090"/>
    <w:rsid w:val="009F158D"/>
    <w:rsid w:val="00A450BA"/>
    <w:rsid w:val="00A640FD"/>
    <w:rsid w:val="00AD07F2"/>
    <w:rsid w:val="00AE10C4"/>
    <w:rsid w:val="00B25D6A"/>
    <w:rsid w:val="00BE37FD"/>
    <w:rsid w:val="00BF2017"/>
    <w:rsid w:val="00C30751"/>
    <w:rsid w:val="00C60047"/>
    <w:rsid w:val="00CC599E"/>
    <w:rsid w:val="00D11CAB"/>
    <w:rsid w:val="00D30CDC"/>
    <w:rsid w:val="00D468A7"/>
    <w:rsid w:val="00D54805"/>
    <w:rsid w:val="00DA266B"/>
    <w:rsid w:val="00DF18E0"/>
    <w:rsid w:val="00E316AC"/>
    <w:rsid w:val="00EC3847"/>
    <w:rsid w:val="00EF14A0"/>
    <w:rsid w:val="00EF2F96"/>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C6E2"/>
  <w15:docId w15:val="{FC35CB1A-EBB7-4016-B002-3E307A8E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autoRedefine/>
    <w:qFormat/>
    <w:pPr>
      <w:widowControl w:val="0"/>
      <w:adjustRightInd w:val="0"/>
      <w:spacing w:line="400" w:lineRule="exact"/>
      <w:jc w:val="both"/>
    </w:pPr>
    <w:rPr>
      <w:rFonts w:ascii="Calibri" w:hAnsi="Calibri" w:cs="Calibri"/>
      <w:kern w:val="2"/>
      <w:sz w:val="21"/>
      <w:szCs w:val="21"/>
    </w:rPr>
  </w:style>
  <w:style w:type="paragraph" w:styleId="2">
    <w:name w:val="heading 2"/>
    <w:basedOn w:val="a0"/>
    <w:next w:val="a0"/>
    <w:semiHidden/>
    <w:unhideWhenUsed/>
    <w:qFormat/>
    <w:pPr>
      <w:spacing w:beforeAutospacing="1" w:afterAutospacing="1"/>
      <w:jc w:val="left"/>
      <w:outlineLvl w:val="1"/>
    </w:pPr>
    <w:rPr>
      <w:rFonts w:ascii="宋体" w:hAnsi="宋体" w:cs="Times New Roman" w:hint="eastAs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qFormat/>
    <w:pPr>
      <w:ind w:firstLineChars="100" w:firstLine="420"/>
    </w:pPr>
  </w:style>
  <w:style w:type="paragraph" w:styleId="a5">
    <w:name w:val="Body Text"/>
    <w:basedOn w:val="a0"/>
    <w:autoRedefine/>
    <w:qFormat/>
    <w:pPr>
      <w:spacing w:before="50" w:line="360" w:lineRule="exact"/>
    </w:pPr>
    <w:rPr>
      <w:b/>
      <w:bCs/>
      <w:color w:val="FF0000"/>
      <w:sz w:val="18"/>
    </w:rPr>
  </w:style>
  <w:style w:type="paragraph" w:styleId="a6">
    <w:name w:val="annotation text"/>
    <w:basedOn w:val="a0"/>
    <w:autoRedefine/>
    <w:qFormat/>
    <w:pPr>
      <w:jc w:val="left"/>
    </w:pPr>
  </w:style>
  <w:style w:type="paragraph" w:styleId="a7">
    <w:name w:val="footer"/>
    <w:basedOn w:val="a0"/>
    <w:link w:val="a8"/>
    <w:autoRedefine/>
    <w:uiPriority w:val="99"/>
    <w:unhideWhenUsed/>
    <w:qFormat/>
    <w:pPr>
      <w:tabs>
        <w:tab w:val="center" w:pos="4153"/>
        <w:tab w:val="right" w:pos="8306"/>
      </w:tabs>
      <w:snapToGrid w:val="0"/>
      <w:jc w:val="left"/>
    </w:pPr>
    <w:rPr>
      <w:sz w:val="18"/>
      <w:szCs w:val="18"/>
    </w:rPr>
  </w:style>
  <w:style w:type="paragraph" w:styleId="a9">
    <w:name w:val="header"/>
    <w:basedOn w:val="a0"/>
    <w:link w:val="a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0"/>
    <w:autoRedefine/>
    <w:qFormat/>
    <w:pPr>
      <w:spacing w:beforeAutospacing="1" w:afterAutospacing="1"/>
      <w:jc w:val="left"/>
    </w:pPr>
    <w:rPr>
      <w:rFonts w:cs="Times New Roman"/>
      <w:kern w:val="0"/>
      <w:sz w:val="24"/>
      <w:szCs w:val="24"/>
    </w:rPr>
  </w:style>
  <w:style w:type="character" w:styleId="ac">
    <w:name w:val="Strong"/>
    <w:basedOn w:val="a2"/>
    <w:autoRedefine/>
    <w:uiPriority w:val="22"/>
    <w:qFormat/>
    <w:rPr>
      <w:b/>
      <w:bCs/>
    </w:rPr>
  </w:style>
  <w:style w:type="character" w:customStyle="1" w:styleId="aa">
    <w:name w:val="页眉 字符"/>
    <w:basedOn w:val="a2"/>
    <w:link w:val="a9"/>
    <w:autoRedefine/>
    <w:qFormat/>
    <w:rPr>
      <w:rFonts w:ascii="Calibri" w:eastAsia="宋体" w:hAnsi="Calibri" w:cs="Calibri"/>
      <w:kern w:val="2"/>
      <w:sz w:val="18"/>
      <w:szCs w:val="18"/>
    </w:rPr>
  </w:style>
  <w:style w:type="paragraph" w:customStyle="1" w:styleId="ad">
    <w:name w:val="段"/>
    <w:basedOn w:val="a0"/>
    <w:link w:val="ae"/>
    <w:autoRedefine/>
    <w:qFormat/>
    <w:pPr>
      <w:spacing w:line="240" w:lineRule="auto"/>
      <w:ind w:firstLineChars="200" w:firstLine="420"/>
    </w:pPr>
    <w:rPr>
      <w:rFonts w:ascii="Times New Roman" w:hAnsi="Times New Roman"/>
    </w:rPr>
  </w:style>
  <w:style w:type="character" w:customStyle="1" w:styleId="a8">
    <w:name w:val="页脚 字符"/>
    <w:basedOn w:val="a2"/>
    <w:link w:val="a7"/>
    <w:autoRedefine/>
    <w:uiPriority w:val="99"/>
    <w:qFormat/>
    <w:rPr>
      <w:rFonts w:ascii="Calibri" w:hAnsi="Calibri" w:cs="Calibri"/>
      <w:kern w:val="2"/>
      <w:sz w:val="18"/>
      <w:szCs w:val="18"/>
    </w:rPr>
  </w:style>
  <w:style w:type="character" w:customStyle="1" w:styleId="ae">
    <w:name w:val="段 字符"/>
    <w:basedOn w:val="a2"/>
    <w:link w:val="ad"/>
    <w:autoRedefine/>
    <w:qFormat/>
    <w:rPr>
      <w:rFonts w:cs="Calibri"/>
      <w:kern w:val="2"/>
      <w:sz w:val="21"/>
      <w:szCs w:val="21"/>
    </w:rPr>
  </w:style>
  <w:style w:type="paragraph" w:customStyle="1" w:styleId="af">
    <w:name w:val="正文段落，引导语"/>
    <w:basedOn w:val="ad"/>
    <w:autoRedefine/>
    <w:qFormat/>
    <w:rPr>
      <w:rFonts w:ascii="宋体" w:hAnsi="宋体"/>
    </w:rPr>
  </w:style>
  <w:style w:type="paragraph" w:customStyle="1" w:styleId="a">
    <w:name w:val="一级条标题"/>
    <w:next w:val="ad"/>
    <w:autoRedefine/>
    <w:qFormat/>
    <w:pPr>
      <w:numPr>
        <w:ilvl w:val="1"/>
        <w:numId w:val="1"/>
      </w:numPr>
      <w:spacing w:beforeLines="50" w:afterLines="50"/>
      <w:outlineLvl w:val="2"/>
    </w:pPr>
    <w:rPr>
      <w:rFonts w:ascii="黑体" w:eastAsia="黑体"/>
      <w:sz w:val="21"/>
      <w:szCs w:val="21"/>
    </w:rPr>
  </w:style>
  <w:style w:type="paragraph" w:customStyle="1" w:styleId="af0">
    <w:name w:val="表正缩"/>
    <w:autoRedefine/>
    <w:qFormat/>
    <w:pPr>
      <w:framePr w:hSpace="180" w:wrap="around" w:vAnchor="text" w:hAnchor="text" w:y="1"/>
      <w:ind w:firstLineChars="200" w:firstLine="200"/>
      <w:suppressOverlap/>
      <w:jc w:val="both"/>
    </w:pPr>
    <w:rPr>
      <w:rFonts w:ascii="方正仿宋_GB2312" w:eastAsia="方正仿宋_GB2312" w:cstheme="minorBidi"/>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2272</Words>
  <Characters>2501</Characters>
  <Application>Microsoft Office Word</Application>
  <DocSecurity>0</DocSecurity>
  <Lines>92</Lines>
  <Paragraphs>90</Paragraphs>
  <ScaleCrop>false</ScaleCrop>
  <Company>Hewlett-Packard Company</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Kuo Teng</cp:lastModifiedBy>
  <cp:revision>18</cp:revision>
  <cp:lastPrinted>2024-05-17T07:43:00Z</cp:lastPrinted>
  <dcterms:created xsi:type="dcterms:W3CDTF">2024-02-21T02:44:00Z</dcterms:created>
  <dcterms:modified xsi:type="dcterms:W3CDTF">2026-05-11T08:08:00Z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E6153694E41A4EBBB4C0EC29E6F37677_13</vt:lpwstr>
  </property>
  <property fmtid="{D5CDD505-2E9C-101B-9397-08002B2CF9AE}" pid="4" name="KSOTemplateDocerSaveRecord">
    <vt:lpwstr>eyJoZGlkIjoiNmRiYmMxMTlmMGViNTJlOTcyNzJiMGRmMzMyNGJmZmYiLCJ1c2VySWQiOiI0MTIzNzc4MTkifQ==</vt:lpwstr>
  </property>
</Properties>
</file>