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eastAsia="宋体" w:cs="宋体"/>
          <w:sz w:val="44"/>
          <w:szCs w:val="44"/>
          <w:lang w:eastAsia="zh-CN"/>
        </w:rPr>
        <w:t>固态变压器 第1部分：光伏并网用固态变压器</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固态变压器 第1部分：光伏并网用固态变压器</w:t>
      </w:r>
      <w:r>
        <w:rPr>
          <w:rFonts w:hint="eastAsia" w:ascii="宋体" w:hAnsi="宋体" w:eastAsia="宋体" w:cs="宋体"/>
          <w:lang w:val="en-US"/>
        </w:rPr>
        <w:t>》</w:t>
      </w:r>
      <w:r>
        <w:rPr>
          <w:rFonts w:hint="eastAsia" w:ascii="宋体" w:hAnsi="宋体" w:cs="宋体"/>
          <w:lang w:val="en-US" w:eastAsia="zh-CN"/>
        </w:rPr>
        <w:t>项目计划号</w:t>
      </w:r>
      <w:r>
        <w:rPr>
          <w:rFonts w:hint="eastAsia" w:ascii="宋体" w:hAnsi="宋体" w:eastAsia="宋体" w:cs="宋体"/>
          <w:kern w:val="0"/>
          <w:sz w:val="24"/>
          <w:szCs w:val="24"/>
          <w:lang w:val="en-US" w:eastAsia="zh-CN" w:bidi="ar-SA"/>
        </w:rPr>
        <w:t>T/CEATEC-2026-097</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本文件起草单位：中国西电电气股份有限公司</w:t>
      </w:r>
      <w:r>
        <w:rPr>
          <w:rFonts w:hint="eastAsia" w:ascii="宋体" w:hAnsi="宋体" w:cs="宋体"/>
          <w:lang w:val="en-US" w:eastAsia="zh-CN"/>
        </w:rPr>
        <w:t>、</w:t>
      </w:r>
      <w:r>
        <w:rPr>
          <w:rFonts w:hint="eastAsia" w:ascii="宋体" w:hAnsi="宋体" w:eastAsia="宋体" w:cs="宋体"/>
          <w:lang w:val="en-US"/>
        </w:rPr>
        <w:t>深圳先行时代科技有限公司</w:t>
      </w:r>
      <w:r>
        <w:rPr>
          <w:rFonts w:hint="eastAsia" w:ascii="宋体" w:hAnsi="宋体" w:cs="宋体"/>
          <w:lang w:val="en-US" w:eastAsia="zh-CN"/>
        </w:rPr>
        <w:t>、</w:t>
      </w:r>
      <w:r>
        <w:rPr>
          <w:rFonts w:hint="eastAsia" w:ascii="宋体" w:hAnsi="宋体" w:eastAsia="宋体" w:cs="宋体"/>
          <w:lang w:val="en-US"/>
        </w:rPr>
        <w:t>西安为光能源科技有限公司</w:t>
      </w:r>
      <w:r>
        <w:rPr>
          <w:rFonts w:hint="eastAsia" w:ascii="宋体" w:hAnsi="宋体" w:cs="宋体"/>
          <w:lang w:val="en-US" w:eastAsia="zh-CN"/>
        </w:rPr>
        <w:t>、</w:t>
      </w:r>
      <w:r>
        <w:rPr>
          <w:rFonts w:hint="eastAsia" w:ascii="宋体" w:hAnsi="宋体" w:eastAsia="宋体" w:cs="宋体"/>
          <w:lang w:val="en-US"/>
        </w:rPr>
        <w:t>广东明阳电气股份有限公司</w:t>
      </w:r>
      <w:r>
        <w:rPr>
          <w:rFonts w:hint="eastAsia" w:ascii="宋体" w:hAnsi="宋体" w:cs="宋体"/>
          <w:lang w:val="en-US" w:eastAsia="zh-CN"/>
        </w:rPr>
        <w:t>、</w:t>
      </w:r>
      <w:r>
        <w:rPr>
          <w:rFonts w:hint="eastAsia" w:ascii="宋体" w:hAnsi="宋体" w:eastAsia="宋体" w:cs="宋体"/>
          <w:lang w:val="en-US"/>
        </w:rPr>
        <w:t>南京南瑞新能源科技有限公司</w:t>
      </w:r>
      <w:r>
        <w:rPr>
          <w:rFonts w:hint="eastAsia" w:ascii="宋体" w:hAnsi="宋体" w:cs="宋体"/>
          <w:lang w:val="en-US" w:eastAsia="zh-CN"/>
        </w:rPr>
        <w:t>、</w:t>
      </w:r>
      <w:r>
        <w:rPr>
          <w:rFonts w:hint="eastAsia" w:ascii="宋体" w:hAnsi="宋体" w:eastAsia="宋体" w:cs="宋体"/>
          <w:lang w:val="en-US"/>
        </w:rPr>
        <w:t>江苏宏源电气有限责任公司</w:t>
      </w:r>
      <w:r>
        <w:rPr>
          <w:rFonts w:hint="eastAsia" w:ascii="宋体" w:hAnsi="宋体" w:cs="宋体"/>
          <w:lang w:val="en-US" w:eastAsia="zh-CN"/>
        </w:rPr>
        <w:t>、</w:t>
      </w:r>
      <w:r>
        <w:rPr>
          <w:rFonts w:hint="eastAsia" w:ascii="宋体" w:hAnsi="宋体" w:eastAsia="宋体" w:cs="宋体"/>
          <w:lang w:val="en-US"/>
        </w:rPr>
        <w:t>广东力王高新科技股份有限公司</w:t>
      </w:r>
      <w:r>
        <w:rPr>
          <w:rFonts w:hint="eastAsia" w:ascii="宋体" w:hAnsi="宋体" w:cs="宋体"/>
          <w:lang w:val="en-US" w:eastAsia="zh-CN"/>
        </w:rPr>
        <w:t>、</w:t>
      </w:r>
      <w:r>
        <w:rPr>
          <w:rFonts w:hint="eastAsia" w:ascii="宋体" w:hAnsi="宋体" w:eastAsia="宋体" w:cs="宋体"/>
          <w:lang w:val="en-US"/>
        </w:rPr>
        <w:t>杭州钱江电气集团股份有限公司</w:t>
      </w:r>
      <w:r>
        <w:rPr>
          <w:rFonts w:hint="eastAsia" w:ascii="宋体" w:hAnsi="宋体" w:cs="宋体"/>
          <w:lang w:val="en-US" w:eastAsia="zh-CN"/>
        </w:rPr>
        <w:t>、</w:t>
      </w:r>
      <w:r>
        <w:rPr>
          <w:rFonts w:hint="eastAsia" w:ascii="宋体" w:hAnsi="宋体" w:eastAsia="宋体" w:cs="宋体"/>
          <w:lang w:val="en-US"/>
        </w:rPr>
        <w:t>济南西电特种变压器有限公司</w:t>
      </w:r>
      <w:r>
        <w:rPr>
          <w:rFonts w:hint="eastAsia" w:ascii="宋体" w:hAnsi="宋体" w:cs="宋体"/>
          <w:lang w:val="en-US" w:eastAsia="zh-CN"/>
        </w:rPr>
        <w:t>、</w:t>
      </w:r>
      <w:r>
        <w:rPr>
          <w:rFonts w:hint="eastAsia" w:ascii="宋体" w:hAnsi="宋体" w:eastAsia="宋体" w:cs="宋体"/>
          <w:lang w:val="en-US"/>
        </w:rPr>
        <w:t>盛道（中国）电气有限公司</w:t>
      </w:r>
      <w:r>
        <w:rPr>
          <w:rFonts w:hint="eastAsia" w:ascii="宋体" w:hAnsi="宋体" w:cs="宋体"/>
          <w:lang w:val="en-US" w:eastAsia="zh-CN"/>
        </w:rPr>
        <w:t>、</w:t>
      </w:r>
      <w:r>
        <w:rPr>
          <w:rFonts w:hint="eastAsia" w:ascii="宋体" w:hAnsi="宋体" w:eastAsia="宋体" w:cs="宋体"/>
          <w:lang w:val="en-US"/>
        </w:rPr>
        <w:t>合肥日立能源变压器有限公司</w:t>
      </w:r>
      <w:r>
        <w:rPr>
          <w:rFonts w:hint="eastAsia" w:ascii="宋体" w:hAnsi="宋体" w:cs="宋体"/>
          <w:lang w:val="en-US" w:eastAsia="zh-CN"/>
        </w:rPr>
        <w:t>、</w:t>
      </w:r>
      <w:r>
        <w:rPr>
          <w:rFonts w:hint="eastAsia" w:ascii="宋体" w:hAnsi="宋体" w:eastAsia="宋体" w:cs="宋体"/>
          <w:lang w:val="en-US"/>
        </w:rPr>
        <w:t>黄华集团有限公司</w:t>
      </w:r>
      <w:r>
        <w:rPr>
          <w:rFonts w:hint="eastAsia" w:ascii="宋体" w:hAnsi="宋体" w:cs="宋体"/>
          <w:lang w:val="en-US" w:eastAsia="zh-CN"/>
        </w:rPr>
        <w:t>、</w:t>
      </w:r>
      <w:r>
        <w:rPr>
          <w:rFonts w:hint="eastAsia" w:ascii="宋体" w:hAnsi="宋体" w:eastAsia="宋体" w:cs="宋体"/>
          <w:lang w:val="en-US"/>
        </w:rPr>
        <w:t>银川欣安瑞电气有限公司</w:t>
      </w:r>
      <w:r>
        <w:rPr>
          <w:rFonts w:hint="eastAsia" w:ascii="宋体" w:hAnsi="宋体" w:cs="宋体"/>
          <w:lang w:val="en-US" w:eastAsia="zh-CN"/>
        </w:rPr>
        <w:t>、</w:t>
      </w:r>
      <w:r>
        <w:rPr>
          <w:rFonts w:hint="eastAsia" w:ascii="宋体" w:hAnsi="宋体" w:eastAsia="宋体" w:cs="宋体"/>
          <w:lang w:val="en-US"/>
        </w:rPr>
        <w:t>西安图为电气技术有限公司</w:t>
      </w:r>
      <w:r>
        <w:rPr>
          <w:rFonts w:hint="eastAsia" w:ascii="宋体" w:hAnsi="宋体" w:cs="宋体"/>
          <w:lang w:val="en-US" w:eastAsia="zh-CN"/>
        </w:rPr>
        <w:t>、</w:t>
      </w:r>
      <w:r>
        <w:rPr>
          <w:rFonts w:hint="eastAsia" w:ascii="宋体" w:hAnsi="宋体" w:eastAsia="宋体" w:cs="宋体"/>
          <w:lang w:val="en-US"/>
        </w:rPr>
        <w:t>广东祥逸光能源科技有限公司</w:t>
      </w:r>
      <w:r>
        <w:rPr>
          <w:rFonts w:hint="eastAsia" w:ascii="宋体" w:hAnsi="宋体" w:cs="宋体"/>
          <w:lang w:val="en-US" w:eastAsia="zh-CN"/>
        </w:rPr>
        <w:t>、</w:t>
      </w:r>
      <w:r>
        <w:rPr>
          <w:rFonts w:hint="eastAsia" w:ascii="宋体" w:hAnsi="宋体" w:eastAsia="宋体" w:cs="宋体"/>
          <w:lang w:val="en-US"/>
        </w:rPr>
        <w:t>天水二一三电器集团有限公司</w:t>
      </w:r>
      <w:r>
        <w:rPr>
          <w:rFonts w:hint="eastAsia" w:ascii="宋体" w:hAnsi="宋体" w:cs="宋体"/>
          <w:lang w:val="en-US" w:eastAsia="zh-CN"/>
        </w:rPr>
        <w:t>、</w:t>
      </w:r>
      <w:r>
        <w:rPr>
          <w:rFonts w:hint="eastAsia" w:ascii="宋体" w:hAnsi="宋体" w:eastAsia="宋体" w:cs="宋体"/>
          <w:lang w:val="en-US"/>
        </w:rPr>
        <w:t>重庆望变电气（集团）股份有限公司</w:t>
      </w:r>
      <w:r>
        <w:rPr>
          <w:rFonts w:hint="eastAsia" w:ascii="宋体" w:hAnsi="宋体" w:cs="宋体"/>
          <w:lang w:val="en-US" w:eastAsia="zh-CN"/>
        </w:rPr>
        <w:t>、</w:t>
      </w:r>
      <w:r>
        <w:rPr>
          <w:rFonts w:hint="eastAsia" w:ascii="宋体" w:hAnsi="宋体" w:eastAsia="宋体" w:cs="宋体"/>
          <w:lang w:val="en-US"/>
        </w:rPr>
        <w:t>浙江万胜智能科技股份有限公司</w:t>
      </w:r>
      <w:r>
        <w:rPr>
          <w:rFonts w:hint="eastAsia" w:ascii="宋体" w:hAnsi="宋体" w:cs="宋体"/>
          <w:lang w:val="en-US" w:eastAsia="zh-CN"/>
        </w:rPr>
        <w:t>、</w:t>
      </w:r>
      <w:r>
        <w:rPr>
          <w:rFonts w:hint="eastAsia" w:ascii="宋体" w:hAnsi="宋体" w:eastAsia="宋体" w:cs="宋体"/>
          <w:lang w:val="en-US"/>
        </w:rPr>
        <w:t>中山市瑞康电器有限公司河南泰隆电力设备股份有限公司。</w:t>
      </w:r>
    </w:p>
    <w:p w14:paraId="718A902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w:t>
      </w:r>
      <w:r>
        <w:rPr>
          <w:rFonts w:hint="eastAsia" w:ascii="宋体" w:hAnsi="宋体" w:eastAsia="宋体" w:cs="宋体"/>
          <w:lang w:val="en-US" w:eastAsia="zh-CN"/>
        </w:rPr>
        <w:t>主要</w:t>
      </w:r>
      <w:r>
        <w:rPr>
          <w:rFonts w:hint="eastAsia" w:ascii="宋体" w:hAnsi="宋体" w:eastAsia="宋体" w:cs="宋体"/>
          <w:lang w:val="en-US"/>
        </w:rPr>
        <w:t>起草人：白世军、薛瑞</w:t>
      </w:r>
      <w:r>
        <w:rPr>
          <w:rFonts w:hint="eastAsia" w:ascii="宋体" w:hAnsi="宋体" w:cs="宋体"/>
          <w:lang w:val="en-US" w:eastAsia="zh-CN"/>
        </w:rPr>
        <w:t>、</w:t>
      </w:r>
      <w:r>
        <w:rPr>
          <w:rFonts w:hint="eastAsia" w:ascii="宋体" w:hAnsi="宋体" w:eastAsia="宋体" w:cs="宋体"/>
          <w:lang w:val="en-US"/>
        </w:rPr>
        <w:t>徐景</w:t>
      </w:r>
      <w:r>
        <w:rPr>
          <w:rFonts w:hint="eastAsia" w:ascii="宋体" w:hAnsi="宋体" w:cs="宋体"/>
          <w:lang w:val="en-US" w:eastAsia="zh-CN"/>
        </w:rPr>
        <w:t>、</w:t>
      </w:r>
      <w:r>
        <w:rPr>
          <w:rFonts w:hint="eastAsia" w:ascii="宋体" w:hAnsi="宋体" w:eastAsia="宋体" w:cs="宋体"/>
          <w:lang w:val="en-US"/>
        </w:rPr>
        <w:t>郝翔、余宝军、段飞跃</w:t>
      </w:r>
      <w:r>
        <w:rPr>
          <w:rFonts w:hint="eastAsia" w:ascii="宋体" w:hAnsi="宋体" w:cs="宋体"/>
          <w:lang w:val="en-US" w:eastAsia="zh-CN"/>
        </w:rPr>
        <w:t>、</w:t>
      </w:r>
      <w:r>
        <w:rPr>
          <w:rFonts w:hint="eastAsia" w:ascii="宋体" w:hAnsi="宋体" w:eastAsia="宋体" w:cs="宋体"/>
          <w:lang w:val="en-US"/>
        </w:rPr>
        <w:t>郭献清、吴红菊</w:t>
      </w:r>
      <w:r>
        <w:rPr>
          <w:rFonts w:hint="eastAsia" w:ascii="宋体" w:hAnsi="宋体" w:cs="宋体"/>
          <w:lang w:val="en-US" w:eastAsia="zh-CN"/>
        </w:rPr>
        <w:t>、</w:t>
      </w:r>
      <w:r>
        <w:rPr>
          <w:rFonts w:hint="eastAsia" w:ascii="宋体" w:hAnsi="宋体" w:eastAsia="宋体" w:cs="宋体"/>
          <w:lang w:val="en-US"/>
        </w:rPr>
        <w:t>孙祖勇，封阿明</w:t>
      </w:r>
      <w:r>
        <w:rPr>
          <w:rFonts w:hint="eastAsia" w:ascii="宋体" w:hAnsi="宋体" w:cs="宋体"/>
          <w:lang w:val="en-US" w:eastAsia="zh-CN"/>
        </w:rPr>
        <w:t>、</w:t>
      </w:r>
      <w:r>
        <w:rPr>
          <w:rFonts w:hint="eastAsia" w:ascii="宋体" w:hAnsi="宋体" w:eastAsia="宋体" w:cs="宋体"/>
          <w:lang w:val="en-US"/>
        </w:rPr>
        <w:t>张奎 、刘斌斌</w:t>
      </w:r>
      <w:r>
        <w:rPr>
          <w:rFonts w:hint="eastAsia" w:ascii="宋体" w:hAnsi="宋体" w:cs="宋体"/>
          <w:lang w:val="en-US" w:eastAsia="zh-CN"/>
        </w:rPr>
        <w:t>、</w:t>
      </w:r>
      <w:r>
        <w:rPr>
          <w:rFonts w:hint="eastAsia" w:ascii="宋体" w:hAnsi="宋体" w:eastAsia="宋体" w:cs="宋体"/>
          <w:lang w:val="en-US"/>
        </w:rPr>
        <w:t>欧阳顺昌</w:t>
      </w:r>
      <w:r>
        <w:rPr>
          <w:rFonts w:hint="eastAsia" w:ascii="宋体" w:hAnsi="宋体" w:cs="宋体"/>
          <w:lang w:val="en-US" w:eastAsia="zh-CN"/>
        </w:rPr>
        <w:t>、</w:t>
      </w:r>
      <w:r>
        <w:rPr>
          <w:rFonts w:hint="eastAsia" w:ascii="宋体" w:hAnsi="宋体" w:eastAsia="宋体" w:cs="宋体"/>
          <w:lang w:val="en-US"/>
        </w:rPr>
        <w:t>王建利、顾胜坚、项忠孝</w:t>
      </w:r>
      <w:r>
        <w:rPr>
          <w:rFonts w:hint="eastAsia" w:ascii="宋体" w:hAnsi="宋体" w:cs="宋体"/>
          <w:lang w:val="en-US" w:eastAsia="zh-CN"/>
        </w:rPr>
        <w:t>、</w:t>
      </w:r>
      <w:r>
        <w:rPr>
          <w:rFonts w:hint="eastAsia" w:ascii="宋体" w:hAnsi="宋体" w:eastAsia="宋体" w:cs="宋体"/>
          <w:lang w:val="en-US"/>
        </w:rPr>
        <w:t>刘海东</w:t>
      </w:r>
      <w:r>
        <w:rPr>
          <w:rFonts w:hint="eastAsia" w:ascii="宋体" w:hAnsi="宋体" w:cs="宋体"/>
          <w:lang w:val="en-US" w:eastAsia="zh-CN"/>
        </w:rPr>
        <w:t>、</w:t>
      </w:r>
      <w:r>
        <w:rPr>
          <w:rFonts w:hint="eastAsia" w:ascii="宋体" w:hAnsi="宋体" w:eastAsia="宋体" w:cs="宋体"/>
          <w:lang w:val="en-US"/>
        </w:rPr>
        <w:t>陈正龙、梁忠杰</w:t>
      </w:r>
      <w:r>
        <w:rPr>
          <w:rFonts w:hint="eastAsia" w:ascii="宋体" w:hAnsi="宋体" w:cs="宋体"/>
          <w:lang w:val="en-US" w:eastAsia="zh-CN"/>
        </w:rPr>
        <w:t>、</w:t>
      </w:r>
      <w:r>
        <w:rPr>
          <w:rFonts w:hint="eastAsia" w:ascii="宋体" w:hAnsi="宋体" w:eastAsia="宋体" w:cs="宋体"/>
          <w:lang w:val="en-US"/>
        </w:rPr>
        <w:t>王海松</w:t>
      </w:r>
      <w:r>
        <w:rPr>
          <w:rFonts w:hint="eastAsia" w:ascii="宋体" w:hAnsi="宋体" w:cs="宋体"/>
          <w:lang w:val="en-US" w:eastAsia="zh-CN"/>
        </w:rPr>
        <w:t>、</w:t>
      </w:r>
      <w:r>
        <w:rPr>
          <w:rFonts w:hint="eastAsia" w:ascii="宋体" w:hAnsi="宋体" w:eastAsia="宋体" w:cs="宋体"/>
          <w:lang w:val="en-US"/>
        </w:rPr>
        <w:t>陈志浩</w:t>
      </w:r>
      <w:r>
        <w:rPr>
          <w:rFonts w:hint="eastAsia" w:ascii="宋体" w:hAnsi="宋体" w:cs="宋体"/>
          <w:lang w:val="en-US" w:eastAsia="zh-CN"/>
        </w:rPr>
        <w:t>、</w:t>
      </w:r>
      <w:r>
        <w:rPr>
          <w:rFonts w:hint="eastAsia" w:ascii="宋体" w:hAnsi="宋体" w:eastAsia="宋体" w:cs="宋体"/>
          <w:lang w:val="en-US"/>
        </w:rPr>
        <w:t>哈悦</w:t>
      </w:r>
      <w:r>
        <w:rPr>
          <w:rFonts w:hint="eastAsia" w:ascii="宋体" w:hAnsi="宋体" w:cs="宋体"/>
          <w:lang w:val="en-US" w:eastAsia="zh-CN"/>
        </w:rPr>
        <w:t>、</w:t>
      </w:r>
      <w:r>
        <w:rPr>
          <w:rFonts w:hint="eastAsia" w:ascii="宋体" w:hAnsi="宋体" w:eastAsia="宋体" w:cs="宋体"/>
          <w:lang w:val="en-US"/>
        </w:rPr>
        <w:t>刘盈高</w:t>
      </w:r>
      <w:r>
        <w:rPr>
          <w:rFonts w:hint="eastAsia" w:ascii="宋体" w:hAnsi="宋体" w:cs="宋体"/>
          <w:lang w:val="en-US" w:eastAsia="zh-CN"/>
        </w:rPr>
        <w:t>、</w:t>
      </w:r>
      <w:r>
        <w:rPr>
          <w:rFonts w:hint="eastAsia" w:ascii="宋体" w:hAnsi="宋体" w:eastAsia="宋体" w:cs="宋体"/>
          <w:lang w:val="en-US"/>
        </w:rPr>
        <w:t>郑海英、危竞、韩茂伟</w:t>
      </w:r>
      <w:r>
        <w:rPr>
          <w:rFonts w:hint="eastAsia" w:ascii="宋体" w:hAnsi="宋体" w:cs="宋体"/>
          <w:lang w:val="en-US" w:eastAsia="zh-CN"/>
        </w:rPr>
        <w:t>、</w:t>
      </w:r>
      <w:r>
        <w:rPr>
          <w:rFonts w:hint="eastAsia" w:ascii="宋体" w:hAnsi="宋体" w:eastAsia="宋体" w:cs="宋体"/>
          <w:lang w:val="en-US"/>
        </w:rPr>
        <w:t>马铁峰</w:t>
      </w:r>
      <w:r>
        <w:rPr>
          <w:rFonts w:hint="eastAsia" w:ascii="宋体" w:hAnsi="宋体" w:cs="宋体"/>
          <w:lang w:val="en-US" w:eastAsia="zh-CN"/>
        </w:rPr>
        <w:t>、</w:t>
      </w:r>
      <w:r>
        <w:rPr>
          <w:rFonts w:hint="eastAsia" w:ascii="宋体" w:hAnsi="宋体" w:eastAsia="宋体" w:cs="宋体"/>
          <w:lang w:val="en-US"/>
        </w:rPr>
        <w:t>张涛</w:t>
      </w:r>
      <w:r>
        <w:rPr>
          <w:rFonts w:hint="eastAsia" w:ascii="宋体" w:hAnsi="宋体" w:cs="宋体"/>
          <w:lang w:val="en-US" w:eastAsia="zh-CN"/>
        </w:rPr>
        <w:t>、</w:t>
      </w:r>
      <w:r>
        <w:rPr>
          <w:rFonts w:hint="eastAsia" w:ascii="宋体" w:hAnsi="宋体" w:eastAsia="宋体" w:cs="宋体"/>
          <w:lang w:val="en-US"/>
        </w:rPr>
        <w:t>刘亚东</w:t>
      </w:r>
      <w:r>
        <w:rPr>
          <w:rFonts w:hint="eastAsia" w:ascii="宋体" w:hAnsi="宋体" w:cs="宋体"/>
          <w:lang w:val="en-US" w:eastAsia="zh-CN"/>
        </w:rPr>
        <w:t>、</w:t>
      </w:r>
      <w:r>
        <w:rPr>
          <w:rFonts w:hint="eastAsia" w:ascii="宋体" w:hAnsi="宋体" w:eastAsia="宋体" w:cs="宋体"/>
          <w:lang w:val="en-US"/>
        </w:rPr>
        <w:t>罗礼楠</w:t>
      </w:r>
      <w:r>
        <w:rPr>
          <w:rFonts w:hint="eastAsia" w:ascii="宋体" w:hAnsi="宋体" w:cs="宋体"/>
          <w:lang w:val="en-US" w:eastAsia="zh-CN"/>
        </w:rPr>
        <w:t>、</w:t>
      </w:r>
      <w:r>
        <w:rPr>
          <w:rFonts w:hint="eastAsia" w:ascii="宋体" w:hAnsi="宋体" w:eastAsia="宋体" w:cs="宋体"/>
          <w:lang w:val="en-US"/>
        </w:rPr>
        <w:t>王红刚、王小辉、寇书瑜</w:t>
      </w:r>
      <w:r>
        <w:rPr>
          <w:rFonts w:hint="eastAsia" w:ascii="宋体" w:hAnsi="宋体" w:cs="宋体"/>
          <w:lang w:val="en-US" w:eastAsia="zh-CN"/>
        </w:rPr>
        <w:t>、</w:t>
      </w:r>
      <w:r>
        <w:rPr>
          <w:rFonts w:hint="eastAsia" w:ascii="宋体" w:hAnsi="宋体" w:eastAsia="宋体" w:cs="宋体"/>
          <w:lang w:val="en-US"/>
        </w:rPr>
        <w:t>张浩。</w:t>
      </w:r>
      <w:bookmarkStart w:id="1" w:name="_GoBack"/>
      <w:bookmarkEnd w:id="1"/>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eastAsia="宋体" w:cs="宋体"/>
          <w:lang w:val="en-US" w:eastAsia="zh-CN"/>
        </w:rPr>
        <w:t>固态变压器 第1部分：光伏并网用固态变压器</w:t>
      </w:r>
      <w:r>
        <w:rPr>
          <w:rFonts w:hint="eastAsia" w:ascii="宋体" w:hAnsi="宋体" w:eastAsia="宋体" w:cs="宋体"/>
          <w:lang w:val="en-US"/>
        </w:rPr>
        <w:t>》团体标准的目的和意义主要体现在以下几个方面：</w:t>
      </w:r>
    </w:p>
    <w:p w14:paraId="2A269E8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 目的</w:t>
      </w:r>
    </w:p>
    <w:p w14:paraId="5C1AC00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光伏并网用固态变压器作为新型电力系统的核心装备，承担着高效转换光伏电能、稳定接入电网系统的关键职责，其性能直接决定光伏电站的发电效率与电网安全运行水平。广泛适配集中式光伏电站、分布式光伏项目、光储充一体化电站等多元场景，既能满足大规模光伏电能升压并网需求，又能在光照波动条件下保持功率稳定输出，同时具备无功补偿、谐波治理、故障隔离等特性，为新能源实现高比例、高质量并网提供核心支撑，成为能源转型与数字电网建设的重要技术载体。</w:t>
      </w:r>
    </w:p>
    <w:p w14:paraId="46A3207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固态变压器多依托军事与特种电力需求研发，结构复杂、成本高昂，仅能实现基础电能变换功能。随着电力电子技术民用化推进，宽禁带半导体器件的普及推动设备向高效化、小型化转型，应用场景从军事逐步拓展至轨道交通、数据中心等领域。近年来，双碳目标的全面实施催生了新能源大规模并网需求，固态变压器技术进一步朝着模块化、智能化、高适应性演进，通过拓扑创新与材料优化，技术成熟度与应用广度持续提升。</w:t>
      </w:r>
    </w:p>
    <w:p w14:paraId="5BA9952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然而，当前行业发展中缺乏针对光伏并网用固态变压器的统一技术规范，现有标准分散且针对性不足，导致不同企业产品在转换效率、并网兼容性、环境适应性等关键指标上差异显著。部分产品存在性能虚标、稳定性不足等问题，不仅增加了用户选型难度，还因接口不兼容、运维标准不统一导致应用成本攀升，制约了行业整体技术升级与规模化应用。制定相关标准的重要性与必要性愈发凸显：一方面，标准能明确设备的性能阈值、测试方法与质量评价体系，划定行业质量底线，有效遏制劣质产品无序竞争；另一方面，统一的技术规范可提升不同品牌产品的兼容性与互换性，降低光伏电站集成与运维成本，推动产业链协同发展。同时，标准的建立能引导企业聚焦核心技术创新，助力国产固态变压器在高效化、智能化领域突破瓶颈，为新能源产业高质量发展提供坚实支撑。</w:t>
      </w:r>
    </w:p>
    <w:p w14:paraId="4E0A75D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 意义</w:t>
      </w:r>
    </w:p>
    <w:p w14:paraId="7154C64F">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近年来，国家高度重视新型电力系统的建设与发展，陆续出台《</w:t>
      </w:r>
      <w:r>
        <w:rPr>
          <w:rFonts w:hint="default" w:ascii="宋体" w:hAnsi="宋体" w:cs="宋体"/>
          <w:lang w:val="en-US" w:eastAsia="zh-CN"/>
        </w:rPr>
        <w:t>“</w:t>
      </w:r>
      <w:r>
        <w:rPr>
          <w:rFonts w:hint="eastAsia" w:ascii="宋体" w:hAnsi="宋体" w:eastAsia="宋体" w:cs="宋体"/>
          <w:lang w:val="en-US" w:eastAsia="zh-CN"/>
        </w:rPr>
        <w:t>十四五</w:t>
      </w:r>
      <w:r>
        <w:rPr>
          <w:rFonts w:hint="default" w:ascii="宋体" w:hAnsi="宋体" w:cs="宋体"/>
          <w:lang w:val="en-US" w:eastAsia="zh-CN"/>
        </w:rPr>
        <w:t>”</w:t>
      </w:r>
      <w:r>
        <w:rPr>
          <w:rFonts w:hint="eastAsia" w:ascii="宋体" w:hAnsi="宋体" w:eastAsia="宋体" w:cs="宋体"/>
          <w:lang w:val="en-US" w:eastAsia="zh-CN"/>
        </w:rPr>
        <w:t>现代能源体系规划》（发改能源〔2022〕210号）《节能装备高质量发展实施方案（2026—2028 年）》（工信部联节〔2026〕45号）等政策文件，其中明确指出，要将固态变压器列为新型电力系统关键使能装备，明确支持</w:t>
      </w:r>
      <w:r>
        <w:rPr>
          <w:rFonts w:hint="default" w:ascii="宋体" w:hAnsi="宋体" w:cs="宋体"/>
          <w:lang w:val="en-US" w:eastAsia="zh-CN"/>
        </w:rPr>
        <w:t>“</w:t>
      </w:r>
      <w:r>
        <w:rPr>
          <w:rFonts w:hint="eastAsia" w:ascii="宋体" w:hAnsi="宋体" w:eastAsia="宋体" w:cs="宋体"/>
          <w:lang w:val="en-US" w:eastAsia="zh-CN"/>
        </w:rPr>
        <w:t>高效化、模块化、智能化</w:t>
      </w:r>
      <w:r>
        <w:rPr>
          <w:rFonts w:hint="default" w:ascii="宋体" w:hAnsi="宋体" w:cs="宋体"/>
          <w:lang w:val="en-US" w:eastAsia="zh-CN"/>
        </w:rPr>
        <w:t>”</w:t>
      </w:r>
      <w:r>
        <w:rPr>
          <w:rFonts w:hint="eastAsia" w:ascii="宋体" w:hAnsi="宋体" w:eastAsia="宋体" w:cs="宋体"/>
          <w:lang w:val="en-US" w:eastAsia="zh-CN"/>
        </w:rPr>
        <w:t>电力电子装备研发。深入推进标准化工作，持续优化标准顶层设计，统筹推进国家能源标准体系和行业应用标准体系建设，加快基础共性和关键技术标准制修订。为积极响应我国政策，推进新能源行业标准化体系建设，促进光伏产业实现高质量发展，亟需组织相关机构开展《固态变压器 第 1 部分：光伏并网用固态变压器》的标准制定，为行业标准化能力提升提供标准依据和技术支撑。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日本团体标准由中国欧洲经济技术合作协会正式立项，立项名称为：</w:t>
      </w:r>
      <w:r>
        <w:rPr>
          <w:rFonts w:hint="eastAsia" w:ascii="宋体" w:hAnsi="宋体" w:eastAsia="宋体" w:cs="宋体"/>
          <w:lang w:val="en-US"/>
        </w:rPr>
        <w:t>《固态变压器 第1部分：光伏并网用固态变压器》</w:t>
      </w:r>
      <w:r>
        <w:rPr>
          <w:rFonts w:hint="eastAsia" w:ascii="宋体" w:hAnsi="宋体" w:eastAsia="宋体" w:cs="宋体"/>
          <w:lang w:val="en-US" w:eastAsia="zh-CN"/>
        </w:rPr>
        <w:t>。</w:t>
      </w:r>
    </w:p>
    <w:p w14:paraId="50B22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4DD11DA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本文件规定了光伏并网用固态变压器（以下简称“固态变压器”）的缩略语、固态变压器分类、环境条件、性能要求、试验项目、标识与文档、包装、运输和贮存等相关要求。</w:t>
      </w:r>
    </w:p>
    <w:p w14:paraId="2D2DB0DC">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本文件适用于光伏交流并网用固态变压器。</w:t>
      </w:r>
    </w:p>
    <w:p w14:paraId="5673A4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08AF0D0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311.1  绝缘配合  第1部分：定义、原则和规则</w:t>
      </w:r>
    </w:p>
    <w:p w14:paraId="5CF7B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  电力变压器  第1部分：总则</w:t>
      </w:r>
    </w:p>
    <w:p w14:paraId="65DAF4B0">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1094.11  电力变压器  第11部分：干式变压器</w:t>
      </w:r>
    </w:p>
    <w:p w14:paraId="0B1EA960">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4798.3  环境条件分类  环境参数组分类及其严酷程度分级  第3部分：有气候防护场所固定使用</w:t>
      </w:r>
    </w:p>
    <w:p w14:paraId="045335C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12326  电能质量  电压波动和闪变</w:t>
      </w:r>
    </w:p>
    <w:p w14:paraId="577A317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14549  电能质量  公用电网谐波</w:t>
      </w:r>
    </w:p>
    <w:p w14:paraId="033D4DA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15543  电能质量  三相电压不平衡</w:t>
      </w:r>
    </w:p>
    <w:p w14:paraId="66B6E1D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17626（所有部分）  电磁兼容  试验和测量技术</w:t>
      </w:r>
    </w:p>
    <w:p w14:paraId="210D441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19964  光伏发电站接入电力系统技术规定</w:t>
      </w:r>
    </w:p>
    <w:p w14:paraId="079BC649">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24337  电能质量  公用电网间谐波</w:t>
      </w:r>
    </w:p>
    <w:p w14:paraId="041D235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29319  光伏发电系统接入配电网技术规定</w:t>
      </w:r>
    </w:p>
    <w:p w14:paraId="4F80C5CE">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29629  静止无功补偿装置水冷却设备</w:t>
      </w:r>
    </w:p>
    <w:p w14:paraId="60151B5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34120  电化学储能系统储能变流器技术要求</w:t>
      </w:r>
    </w:p>
    <w:p w14:paraId="164F7F7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37409  光伏发电并网逆变器检测技术规范</w:t>
      </w:r>
    </w:p>
    <w:p w14:paraId="2114896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DL/T 1773  电力系统电压和无功电力技术导则</w:t>
      </w:r>
    </w:p>
    <w:p w14:paraId="77275B0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ISO 12944  色漆和清漆  防护涂料系统对钢结构的腐蚀防护（Paints and varnishes - Corrosion protection of steel structures by protective paint systems）</w:t>
      </w:r>
    </w:p>
    <w:p w14:paraId="477DE320">
      <w:pPr>
        <w:pStyle w:val="8"/>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1.3 术语和定义</w:t>
      </w:r>
    </w:p>
    <w:p w14:paraId="2803092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下列术语和定义适用于本文件。</w:t>
      </w:r>
    </w:p>
    <w:p w14:paraId="14F5C782">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1.3.1</w:t>
      </w:r>
    </w:p>
    <w:p w14:paraId="33713AD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 xml:space="preserve">固态变压器 solid state transformer </w:t>
      </w:r>
    </w:p>
    <w:p w14:paraId="7F43EBE5">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采用电力电子变换技术与高频隔离技术相结合，具备模块化、智能化、可在中高压工作等特征，能实现电能的高效变换、并网控制及电能质量综合治理的电力电子装置。</w:t>
      </w:r>
    </w:p>
    <w:p w14:paraId="5BC9E912">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1.3.2</w:t>
      </w:r>
    </w:p>
    <w:p w14:paraId="27A6E0E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高频隔离变压器 high-frequency isolation transformer</w:t>
      </w:r>
    </w:p>
    <w:p w14:paraId="00DDCD3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在固态变压器中起电压变换（或包含谐振）和电气隔离作用的变压器，其工作频率显著高于工频50 Hz，采用高频软磁材料制备铁芯，能适配固态变压器高频化、小型化的设计要求。</w:t>
      </w:r>
    </w:p>
    <w:p w14:paraId="60FF232F">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注：通常为1 kHz及以上。</w:t>
      </w:r>
    </w:p>
    <w:p w14:paraId="2B95052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1.3.3</w:t>
      </w:r>
    </w:p>
    <w:p w14:paraId="0410536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光伏交流并网用固态变压器 solid state transformer for photovoltaic AC grid connection</w:t>
      </w:r>
    </w:p>
    <w:p w14:paraId="7D5D2735">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采用电力电子变换技术，将光伏系统输出的直流电转换为符合电网接入要求的交流电，实现电压变换、能量传输、并网控制及电能质量治理的固态变压器。</w:t>
      </w:r>
    </w:p>
    <w:p w14:paraId="48916976">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1.3.4</w:t>
      </w:r>
    </w:p>
    <w:p w14:paraId="673A5F2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功率模块power module</w:t>
      </w:r>
    </w:p>
    <w:p w14:paraId="4401BF4D">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由连接成的开关器件、高频隔离变压器以及辅助设备组成、具备单独运行功能的模块化电路结构，是固态变压器的基本单元。</w:t>
      </w:r>
    </w:p>
    <w:p w14:paraId="1DD3974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1.3.5</w:t>
      </w:r>
    </w:p>
    <w:p w14:paraId="7312FB3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模块自动旁路功能 module automatic bypass function</w:t>
      </w:r>
    </w:p>
    <w:p w14:paraId="442ADDD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固态变压器在运行过程中，当其中某一个功率模块发生故障，系统能自动检测出故障模块，并将其直接切除，切除过程产品不停机。</w:t>
      </w:r>
    </w:p>
    <w:p w14:paraId="251ABF05">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1.3.6</w:t>
      </w:r>
    </w:p>
    <w:p w14:paraId="1DCFF230">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故障穿越 fault ride through</w:t>
      </w:r>
    </w:p>
    <w:p w14:paraId="289EDA9C">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当电力系统事故或扰动引起固态变压器交流出口侧电压超过正常运行范围时，在规定的变化范围和时间间隔内，固态变压器能够保证不脱网连续运行。</w:t>
      </w:r>
    </w:p>
    <w:p w14:paraId="59800DB9">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注：故障穿越包括低电压穿越和高电压穿越。</w:t>
      </w:r>
    </w:p>
    <w:p w14:paraId="31FFA75F">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1.3.7</w:t>
      </w:r>
    </w:p>
    <w:p w14:paraId="41B16DAA">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低电压穿越 low voltage ride through</w:t>
      </w:r>
    </w:p>
    <w:p w14:paraId="343E1932">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当电力系统事故或扰动引起固态变压器交流出口侧电压跌落时，在一定的电压跌落范围和时间间隔内，固态变压器能够保证不脱网连续运行。</w:t>
      </w:r>
    </w:p>
    <w:p w14:paraId="6C4311D6">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1.3.8</w:t>
      </w:r>
    </w:p>
    <w:p w14:paraId="19CB1ABB">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高电压穿越 high voltage ride through</w:t>
      </w:r>
    </w:p>
    <w:p w14:paraId="74AAA07E">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当电力系统事故或扰动引起固态变压器交流出口侧电压升高时，在一定的电压升高范围和时间间隔内，固态变压器能够保证不脱网连续运行。</w:t>
      </w:r>
    </w:p>
    <w:p w14:paraId="50009F51">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1.3.9</w:t>
      </w:r>
    </w:p>
    <w:p w14:paraId="71E5C397">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孤岛 islanding</w:t>
      </w:r>
    </w:p>
    <w:p w14:paraId="2CF8D3A4">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包含负荷和电源的部分电网，从主网脱离后继续孤立运行的状态。注：孤岛可分为非计划性孤岛和计划性孤岛。非计划性孤岛指的是非计划、不受控地发生孤岛。计划性孤岛指的是按预先配置的控制策略，有计划地发生孤岛</w:t>
      </w:r>
    </w:p>
    <w:p w14:paraId="0D439748">
      <w:pPr>
        <w:pStyle w:val="8"/>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1.3.10</w:t>
      </w:r>
    </w:p>
    <w:p w14:paraId="01E369F3">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防孤岛 anti-islanding</w:t>
      </w:r>
    </w:p>
    <w:p w14:paraId="28357768">
      <w:pPr>
        <w:pStyle w:val="8"/>
        <w:widowControl/>
        <w:spacing w:beforeAutospacing="0" w:afterAutospacing="0" w:line="520" w:lineRule="exact"/>
        <w:ind w:firstLine="480" w:firstLineChars="200"/>
        <w:jc w:val="both"/>
        <w:rPr>
          <w:rFonts w:hint="default" w:ascii="宋体" w:hAnsi="宋体" w:cs="宋体"/>
          <w:lang w:val="en-US" w:eastAsia="zh-CN"/>
        </w:rPr>
      </w:pPr>
      <w:r>
        <w:rPr>
          <w:rFonts w:hint="default" w:ascii="宋体" w:hAnsi="宋体" w:cs="宋体"/>
          <w:lang w:val="en-US" w:eastAsia="zh-CN"/>
        </w:rPr>
        <w:t>防止非计划性孤岛现象的发生。</w:t>
      </w:r>
    </w:p>
    <w:p w14:paraId="28396E0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1.4 略缩语</w:t>
      </w:r>
    </w:p>
    <w:p w14:paraId="6307192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SST：固态变压器（Solid State Transformer）</w:t>
      </w:r>
    </w:p>
    <w:p w14:paraId="74BD2FA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MPPT：最大功率点跟踪（Maximum Power Point Tracking）</w:t>
      </w:r>
    </w:p>
    <w:p w14:paraId="6FCAEAE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THD：总谐波畸变（Total Harmonic Distortion）</w:t>
      </w:r>
    </w:p>
    <w:p w14:paraId="206EF25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1.5 光伏并网用固态变压器分类及系统组成</w:t>
      </w:r>
    </w:p>
    <w:p w14:paraId="5D583C2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对光伏并网用固态变压器</w:t>
      </w:r>
      <w:r>
        <w:rPr>
          <w:rFonts w:hint="eastAsia" w:ascii="宋体" w:hAnsi="宋体" w:cs="宋体"/>
          <w:lang w:val="en-US" w:eastAsia="zh-CN"/>
        </w:rPr>
        <w:t>的</w:t>
      </w:r>
      <w:r>
        <w:rPr>
          <w:rFonts w:hint="eastAsia" w:ascii="宋体" w:hAnsi="宋体" w:eastAsia="宋体" w:cs="宋体"/>
          <w:lang w:val="en-US" w:eastAsia="zh-CN"/>
        </w:rPr>
        <w:t>分类及系统组成进行规定。</w:t>
      </w:r>
    </w:p>
    <w:p w14:paraId="79A5881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1.6 环境条件</w:t>
      </w:r>
    </w:p>
    <w:p w14:paraId="4CC3A66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对环境条件进行规定。</w:t>
      </w:r>
    </w:p>
    <w:p w14:paraId="49D53BA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1.7 性能要求</w:t>
      </w:r>
    </w:p>
    <w:p w14:paraId="60BAB1B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对性能要求进行规定</w:t>
      </w:r>
    </w:p>
    <w:p w14:paraId="2A3F16C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1.8 试验项目及方法</w:t>
      </w:r>
    </w:p>
    <w:p w14:paraId="2610F72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对试验项目及方法进行规定。</w:t>
      </w:r>
    </w:p>
    <w:p w14:paraId="354A32AA">
      <w:pPr>
        <w:pStyle w:val="8"/>
        <w:widowControl/>
        <w:spacing w:beforeAutospacing="0" w:afterAutospacing="0" w:line="520" w:lineRule="exact"/>
        <w:ind w:firstLine="480" w:firstLineChars="200"/>
        <w:jc w:val="both"/>
        <w:rPr>
          <w:rFonts w:hint="eastAsia" w:ascii="宋体" w:hAnsi="宋体" w:eastAsia="宋体" w:cs="宋体"/>
          <w:lang w:val="en-US" w:eastAsia="zh-CN"/>
        </w:rPr>
      </w:pPr>
      <w:bookmarkStart w:id="0" w:name="_Toc19479"/>
      <w:r>
        <w:rPr>
          <w:rFonts w:hint="eastAsia"/>
          <w:lang w:val="en-US" w:eastAsia="zh-CN"/>
        </w:rPr>
        <w:t xml:space="preserve">1.9 </w:t>
      </w:r>
      <w:r>
        <w:rPr>
          <w:rFonts w:hint="eastAsia"/>
        </w:rPr>
        <w:t>标识与文档</w:t>
      </w:r>
      <w:bookmarkEnd w:id="0"/>
    </w:p>
    <w:p w14:paraId="20D916A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rPr>
        <w:t>标识与文档</w:t>
      </w:r>
      <w:r>
        <w:rPr>
          <w:rFonts w:hint="eastAsia" w:ascii="宋体" w:hAnsi="宋体" w:eastAsia="宋体" w:cs="宋体"/>
          <w:lang w:val="en-US" w:eastAsia="zh-CN"/>
        </w:rPr>
        <w:t>进行规定。</w:t>
      </w:r>
    </w:p>
    <w:p w14:paraId="2F613B6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lang w:val="en-US" w:eastAsia="zh-CN"/>
        </w:rPr>
        <w:t xml:space="preserve">1.9 </w:t>
      </w:r>
      <w:r>
        <w:rPr>
          <w:rFonts w:hint="eastAsia"/>
        </w:rPr>
        <w:t>包装、运输和贮存</w:t>
      </w:r>
    </w:p>
    <w:p w14:paraId="53C0141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rPr>
        <w:t>包装、运输和贮存</w:t>
      </w:r>
      <w:r>
        <w:rPr>
          <w:rFonts w:hint="eastAsia" w:ascii="宋体" w:hAnsi="宋体" w:eastAsia="宋体" w:cs="宋体"/>
          <w:lang w:val="en-US" w:eastAsia="zh-CN"/>
        </w:rPr>
        <w:t>进行规定。</w:t>
      </w:r>
    </w:p>
    <w:p w14:paraId="60EA2A5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cs="宋体"/>
          <w:lang w:val="en-US" w:eastAsia="zh-CN"/>
        </w:rPr>
        <w:t>“</w:t>
      </w:r>
      <w:r>
        <w:rPr>
          <w:rFonts w:hint="eastAsia" w:ascii="宋体" w:hAnsi="宋体" w:eastAsia="宋体" w:cs="宋体"/>
          <w:lang w:val="en-US" w:eastAsia="zh-CN"/>
        </w:rPr>
        <w:t>十四五</w:t>
      </w:r>
      <w:r>
        <w:rPr>
          <w:rFonts w:hint="eastAsia" w:ascii="宋体" w:hAnsi="宋体" w:cs="宋体"/>
          <w:lang w:val="en-US" w:eastAsia="zh-CN"/>
        </w:rPr>
        <w:t>”</w:t>
      </w:r>
      <w:r>
        <w:rPr>
          <w:rFonts w:hint="eastAsia" w:ascii="宋体" w:hAnsi="宋体" w:eastAsia="宋体" w:cs="宋体"/>
          <w:lang w:val="en-US" w:eastAsia="zh-CN"/>
        </w:rPr>
        <w:t>现代能源体系规划》《节能装备高质量发展实施方案（2026—2028年）》等政策文件中关于高效化、模块化、智能化电力电子装备研发与标准体系建设的要求确定，严格按照GB/T 1.1—2020《标准化工作导则 第 1 部分：标准化文件的结构和起草规则》编制，全面引用GB/T 191、GB/T 2423系列、GB/T 2828.1、GB/T 12325、GB/T 14549、IEC 61800等国内外现行有效标准，结合集中式光伏电站、分布式光伏项目、光储充一体化电站、工商业屋顶光伏、户用光伏系统等实际应用场景的工况需求，聚焦转换效率、功率密度、电能质量、故障隔离与保护、高低温与高海拔适应等核心性能指标，同时基于阳光电源、华为数字能源、特变电工、许继电气、平高电气等主流电力电子企业量产工艺、器件选型、拓扑设计数据，兼顾技术先进性与产业可实现性，针对当前行业缺乏统一技术规范、性能指标差异大、并网兼容性不足、质量参差不齐、用户选型困难等突出问题，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本标准编制过程中选取多家起草单位量产光伏并网用固态变压器样品，依据标准规定开展转换效率、功率密度、电能质量、谐波抑制、电压稳定性等电气性能测试，以及高温、低温、恒定湿热、温度 / 湿度 / 高海拔综合、盐雾、振动、冲击等环境适应性试验，同时开展模块化指标与并网接口兼容性验证，结果显示样品电气性能符合 GB/T 12325、GB/T 14549 等要求，环境适应能力满足光伏电站复杂工况与户外长期运行需求，设备体积较传统同规格变压器减小30%～50%，不同厂家产品在主流光伏逆变器平台具备良好互换性与并网兼容性，标准规定指标科学合理、可验证、可实现；从技术经济论证来看，标准指标基于成熟量产工艺制定，企业无需大幅改造产线即可达标，技术可行性高，统一技术规范可显著减少定制开发、并网调试、售后运维等成本，提升电站集成效率，同时规范行业质量底线，引导企业聚焦拓扑创新、器件优化与电能质量升级，增强国产电力电子装备核心竞争力；预期实施后可推动光伏并网用固态变压器行业规范化、规模化、集约化发展，有效遏制劣质产品与无序竞争，降低产业链整体成本，提升国产产品市场公信力与全球竞争力，有力支撑集中式光伏、分布式光伏、光储充一体化、工商业光伏等行业高效发展，为新型电力系统高质量发展提供关键装备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8"/>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固态变压器 第 1 部分：光伏并网用固态变压器</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7C66EBA"/>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66740A0"/>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4BC7EEB"/>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5">
    <w:name w:val="annotation text"/>
    <w:basedOn w:val="1"/>
    <w:autoRedefine/>
    <w:qFormat/>
    <w:uiPriority w:val="0"/>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character" w:styleId="11">
    <w:name w:val="Strong"/>
    <w:basedOn w:val="10"/>
    <w:autoRedefine/>
    <w:qFormat/>
    <w:uiPriority w:val="22"/>
    <w:rPr>
      <w:b/>
      <w:bCs/>
    </w:rPr>
  </w:style>
  <w:style w:type="character" w:customStyle="1" w:styleId="12">
    <w:name w:val="页眉 字符"/>
    <w:basedOn w:val="10"/>
    <w:link w:val="7"/>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6"/>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4460</Words>
  <Characters>5100</Characters>
  <Lines>22</Lines>
  <Paragraphs>6</Paragraphs>
  <TotalTime>15</TotalTime>
  <ScaleCrop>false</ScaleCrop>
  <LinksUpToDate>false</LinksUpToDate>
  <CharactersWithSpaces>5268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标准部-李晓宇</cp:lastModifiedBy>
  <cp:lastPrinted>2024-05-17T07:43:00Z</cp:lastPrinted>
  <dcterms:modified xsi:type="dcterms:W3CDTF">2026-05-11T07:14:10Z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E6153694E41A4EBBB4C0EC29E6F37677_13</vt:lpwstr>
  </property>
  <property fmtid="{D5CDD505-2E9C-101B-9397-08002B2CF9AE}" pid="4" name="KSOTemplateDocerSaveRecord">
    <vt:lpwstr>eyJoZGlkIjoiMTM4ZDdmYjY2NDkyZjIzNDhmODIzZWE0NTA3ZGVjNGEiLCJ1c2VySWQiOiI1OTIzNDQ4MDEifQ==</vt:lpwstr>
  </property>
</Properties>
</file>