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ACB5" w14:textId="7E67FA86" w:rsidR="00203CDB" w:rsidRDefault="00000000">
      <w:pPr>
        <w:spacing w:beforeLines="50" w:before="156" w:afterLines="50" w:after="156" w:line="240" w:lineRule="auto"/>
        <w:jc w:val="center"/>
        <w:rPr>
          <w:rFonts w:ascii="宋体" w:hAnsi="宋体" w:cs="宋体"/>
          <w:sz w:val="44"/>
          <w:szCs w:val="44"/>
        </w:rPr>
      </w:pPr>
      <w:r>
        <w:rPr>
          <w:rFonts w:ascii="宋体" w:hAnsi="宋体" w:cs="宋体" w:hint="eastAsia"/>
          <w:sz w:val="44"/>
          <w:szCs w:val="44"/>
        </w:rPr>
        <w:t>《</w:t>
      </w:r>
      <w:r w:rsidR="00B3280E" w:rsidRPr="00B3280E">
        <w:rPr>
          <w:rFonts w:ascii="宋体" w:hAnsi="宋体" w:cs="宋体"/>
          <w:sz w:val="44"/>
          <w:szCs w:val="44"/>
        </w:rPr>
        <w:t>固态变压器通用技术规范</w:t>
      </w:r>
      <w:r>
        <w:rPr>
          <w:rFonts w:ascii="宋体" w:hAnsi="宋体" w:cs="宋体" w:hint="eastAsia"/>
          <w:sz w:val="44"/>
          <w:szCs w:val="44"/>
        </w:rPr>
        <w:t>》</w:t>
      </w:r>
    </w:p>
    <w:p w14:paraId="44E4597F" w14:textId="77777777" w:rsidR="00203CDB" w:rsidRDefault="00000000">
      <w:pPr>
        <w:spacing w:beforeLines="50" w:before="156" w:afterLines="50" w:after="156" w:line="240" w:lineRule="auto"/>
        <w:jc w:val="center"/>
        <w:rPr>
          <w:rFonts w:ascii="Times New Roman" w:eastAsia="黑体" w:hAnsi="Times New Roman"/>
          <w:sz w:val="32"/>
          <w:szCs w:val="32"/>
        </w:rPr>
      </w:pPr>
      <w:r>
        <w:rPr>
          <w:rFonts w:ascii="Times New Roman" w:eastAsia="黑体" w:hAnsi="Times New Roman" w:hint="eastAsia"/>
          <w:sz w:val="32"/>
          <w:szCs w:val="32"/>
        </w:rPr>
        <w:t>（征求意见稿）</w:t>
      </w:r>
    </w:p>
    <w:p w14:paraId="074A2A64" w14:textId="77777777" w:rsidR="00203CDB" w:rsidRDefault="00000000">
      <w:pPr>
        <w:spacing w:beforeLines="50" w:before="156" w:afterLines="50" w:after="156" w:line="240" w:lineRule="auto"/>
        <w:jc w:val="center"/>
        <w:rPr>
          <w:rFonts w:ascii="Times New Roman" w:eastAsia="黑体" w:hAnsi="Times New Roman"/>
          <w:sz w:val="32"/>
          <w:szCs w:val="32"/>
        </w:rPr>
      </w:pPr>
      <w:r>
        <w:rPr>
          <w:rFonts w:ascii="Times New Roman" w:eastAsia="黑体" w:hAnsi="Times New Roman" w:hint="eastAsia"/>
          <w:sz w:val="32"/>
          <w:szCs w:val="32"/>
        </w:rPr>
        <w:t>编制说明</w:t>
      </w:r>
    </w:p>
    <w:p w14:paraId="4348FC38"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工作简况</w:t>
      </w:r>
    </w:p>
    <w:p w14:paraId="6200CB88"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（一）任务来源</w:t>
      </w:r>
    </w:p>
    <w:p w14:paraId="538CFC6B" w14:textId="4A8B84F9"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本项目根据中国欧洲经济技术合作协会2026年团体标准制定计划，项目名称为《</w:t>
      </w:r>
      <w:r w:rsidR="00B3280E" w:rsidRPr="00B3280E">
        <w:rPr>
          <w:rFonts w:ascii="宋体" w:hAnsi="宋体" w:cs="宋体"/>
        </w:rPr>
        <w:t>固态变压器通用技术规范</w:t>
      </w:r>
      <w:r>
        <w:rPr>
          <w:rFonts w:ascii="宋体" w:hAnsi="宋体" w:cs="宋体" w:hint="eastAsia"/>
        </w:rPr>
        <w:t>》项目计划号T/CEATEC-2026-0</w:t>
      </w:r>
      <w:r w:rsidR="00EF2F96">
        <w:rPr>
          <w:rFonts w:ascii="宋体" w:hAnsi="宋体" w:cs="宋体" w:hint="eastAsia"/>
        </w:rPr>
        <w:t>9</w:t>
      </w:r>
      <w:r w:rsidR="00B3280E">
        <w:rPr>
          <w:rFonts w:ascii="宋体" w:hAnsi="宋体" w:cs="宋体" w:hint="eastAsia"/>
        </w:rPr>
        <w:t>6</w:t>
      </w:r>
      <w:r>
        <w:rPr>
          <w:rFonts w:ascii="宋体" w:hAnsi="宋体" w:cs="宋体" w:hint="eastAsia"/>
        </w:rPr>
        <w:t>的任务而进行制订。</w:t>
      </w:r>
    </w:p>
    <w:p w14:paraId="62BC70CE"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b/>
          <w:bCs/>
          <w:color w:val="000000" w:themeColor="text1"/>
          <w:sz w:val="28"/>
          <w:szCs w:val="28"/>
        </w:rPr>
        <w:t>（二）起草单位及主要起草人</w:t>
      </w:r>
    </w:p>
    <w:p w14:paraId="72408A2A" w14:textId="5CA54082"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本文件起草单位：</w:t>
      </w:r>
      <w:r w:rsidR="00F763D7" w:rsidRPr="00F763D7">
        <w:rPr>
          <w:rFonts w:ascii="宋体" w:hAnsi="宋体" w:cs="宋体"/>
        </w:rPr>
        <w:t>华北电力大学、广州广高高压电器有限公司、华自科技股份有限公司、深圳市先行电气技术有限公司、浙江广天电力设备股份有限公司、山东电工电气集团智能电气有限公司、深圳市麦捷微电子科技股份有限公司、上海北变科技股份有限公司、青岛特来电新能源科技有限公司、江西赣电电气有限公司、江苏瑞恩电气有限公司</w:t>
      </w:r>
      <w:r>
        <w:rPr>
          <w:rFonts w:ascii="宋体" w:hAnsi="宋体" w:cs="宋体" w:hint="eastAsia"/>
        </w:rPr>
        <w:t>。</w:t>
      </w:r>
    </w:p>
    <w:p w14:paraId="31016CB6" w14:textId="44146798"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本文件主要起草人：</w:t>
      </w:r>
      <w:r w:rsidR="00F763D7" w:rsidRPr="00F763D7">
        <w:rPr>
          <w:rFonts w:ascii="宋体" w:hAnsi="宋体" w:cs="宋体"/>
        </w:rPr>
        <w:t>赵小军、付超、高圣泽、邹坤、刘贤文、苏红元、胡轶波、张福兴、徐景、李定远、王林江、董智、辛瑞芝、苏程、郑铸应、程益峰、于越、赵文江、郑鹏飞、张爱民、徐伟</w:t>
      </w:r>
      <w:r>
        <w:rPr>
          <w:rFonts w:ascii="宋体" w:hAnsi="宋体" w:cs="宋体" w:hint="eastAsia"/>
        </w:rPr>
        <w:t>。</w:t>
      </w:r>
    </w:p>
    <w:p w14:paraId="1EB45AE9" w14:textId="77777777" w:rsidR="00203CDB" w:rsidRDefault="00000000">
      <w:pPr>
        <w:pStyle w:val="a5"/>
        <w:spacing w:line="360" w:lineRule="auto"/>
        <w:ind w:firstLineChars="200" w:firstLine="56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（三）标准制定目的和意义</w:t>
      </w:r>
    </w:p>
    <w:p w14:paraId="0810597D" w14:textId="145EC5BB" w:rsidR="00203CDB" w:rsidRDefault="00000000">
      <w:pPr>
        <w:pStyle w:val="ab"/>
        <w:widowControl/>
        <w:spacing w:beforeAutospacing="0" w:afterAutospacing="0" w:line="520" w:lineRule="exact"/>
        <w:ind w:firstLineChars="200" w:firstLine="480"/>
        <w:jc w:val="both"/>
        <w:rPr>
          <w:rFonts w:ascii="宋体" w:hAnsi="宋体" w:cs="宋体"/>
        </w:rPr>
      </w:pPr>
      <w:bookmarkStart w:id="0" w:name="OLE_LINK1"/>
      <w:r>
        <w:rPr>
          <w:rFonts w:ascii="宋体" w:hAnsi="宋体" w:cs="宋体" w:hint="eastAsia"/>
        </w:rPr>
        <w:t>从产业角度分析，制定《</w:t>
      </w:r>
      <w:r w:rsidR="00B3280E">
        <w:rPr>
          <w:rFonts w:ascii="宋体" w:hAnsi="宋体" w:cs="宋体" w:hint="eastAsia"/>
        </w:rPr>
        <w:t>固态变压器通用技术规范</w:t>
      </w:r>
      <w:r>
        <w:rPr>
          <w:rFonts w:ascii="宋体" w:hAnsi="宋体" w:cs="宋体" w:hint="eastAsia"/>
        </w:rPr>
        <w:t>》团体标准的目的和意义主要体现在以下几个方面：</w:t>
      </w:r>
    </w:p>
    <w:p w14:paraId="7645D6C4"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1.目的</w:t>
      </w:r>
    </w:p>
    <w:p w14:paraId="7DEB74A9" w14:textId="77777777" w:rsidR="00735EC9" w:rsidRPr="00735EC9" w:rsidRDefault="00735EC9" w:rsidP="00735EC9">
      <w:pPr>
        <w:pStyle w:val="ab"/>
        <w:widowControl/>
        <w:spacing w:beforeAutospacing="0" w:afterAutospacing="0" w:line="520" w:lineRule="exact"/>
        <w:ind w:firstLineChars="200" w:firstLine="480"/>
        <w:jc w:val="both"/>
        <w:rPr>
          <w:rFonts w:ascii="宋体" w:hAnsi="宋体" w:cs="宋体"/>
        </w:rPr>
      </w:pPr>
      <w:r w:rsidRPr="00735EC9">
        <w:rPr>
          <w:rFonts w:ascii="宋体" w:hAnsi="宋体" w:cs="宋体" w:hint="eastAsia"/>
        </w:rPr>
        <w:t>固态变压器（SST）作为新一代高效电力电子变换装备，是电力系统电能转换与传输的核心核心设备，承担着不同电压等级交直流转换、电能质量调控、高效能量传输、安全冗余保障的关键职能，其性能直接决定电力系统的供电可靠性、能效水平与运行稳定性。广泛适配新型电力系统、新能源并网（光伏/风电）、轨道交通、工业制造、</w:t>
      </w:r>
      <w:r w:rsidRPr="00735EC9">
        <w:rPr>
          <w:rFonts w:ascii="宋体" w:hAnsi="宋体" w:cs="宋体" w:hint="eastAsia"/>
        </w:rPr>
        <w:lastRenderedPageBreak/>
        <w:t>智能楼宇、储能系统等多元核心场景，既能满足中高压与低压交直流的高效变换需求，又能在高负载波动、复杂电磁干扰、连续满负荷运行等工况下维持稳定输出，同时具备高功率密度、低损耗、无油化、小型化、智能监控等特性，为电力系统高效运行、新能源消纳、能源低碳转型提供核心保障，成为新型电力系统与能源数字化融合领域的关键技术装备。</w:t>
      </w:r>
    </w:p>
    <w:p w14:paraId="4CE76D1B" w14:textId="77777777" w:rsidR="00735EC9" w:rsidRPr="00735EC9" w:rsidRDefault="00735EC9" w:rsidP="00735EC9">
      <w:pPr>
        <w:pStyle w:val="ab"/>
        <w:widowControl/>
        <w:spacing w:beforeAutospacing="0" w:afterAutospacing="0" w:line="520" w:lineRule="exact"/>
        <w:ind w:firstLineChars="200" w:firstLine="480"/>
        <w:jc w:val="both"/>
        <w:rPr>
          <w:rFonts w:ascii="宋体" w:hAnsi="宋体" w:cs="宋体"/>
        </w:rPr>
      </w:pPr>
      <w:r w:rsidRPr="00735EC9">
        <w:rPr>
          <w:rFonts w:ascii="宋体" w:hAnsi="宋体" w:cs="宋体" w:hint="eastAsia"/>
        </w:rPr>
        <w:t>早期电力系统电能转换多采用传统工频变压器架构，存在设备体积庞大、转换效率偏低、响应速度慢、维护成本高、能耗损失突出、调控灵活性不足等问题，仅能实现基础的电压变换与电能输送功能，难以适配新型电力系统多元化、智能化、低碳化的发展需求。随着新型电力系统建设加速，新能源并网规模持续扩大，电力负荷结构不断优化，对电能转换装备的高效性、可靠性、灵活性、智能化要求大幅提升，传统工频变压器的短板日益凸显，已无法满足行业高质量发展需求。近年来，宽禁带半导体（SiC/GaN）、高频磁芯材料、先进拓扑结构等技术的不断成熟，推动固态变压器朝着高效化、集成化、智能化、小型化方向快速演进，通过核心器件升级、电路拓扑优化、智能控制技术融合，其技术成熟度、场景适配性与产业化水平持续提升，逐步成为替代传统工频变压器、支撑新型电力系统建设的核心方案。</w:t>
      </w:r>
    </w:p>
    <w:p w14:paraId="6ABF701B" w14:textId="262CCD5D" w:rsidR="00735EC9" w:rsidRDefault="00735EC9" w:rsidP="00735EC9">
      <w:pPr>
        <w:pStyle w:val="ab"/>
        <w:widowControl/>
        <w:spacing w:beforeAutospacing="0" w:afterAutospacing="0" w:line="520" w:lineRule="exact"/>
        <w:ind w:firstLineChars="200" w:firstLine="480"/>
        <w:jc w:val="both"/>
        <w:rPr>
          <w:rFonts w:ascii="宋体" w:hAnsi="宋体" w:cs="宋体"/>
        </w:rPr>
      </w:pPr>
      <w:r w:rsidRPr="00735EC9">
        <w:rPr>
          <w:rFonts w:ascii="宋体" w:hAnsi="宋体" w:cs="宋体" w:hint="eastAsia"/>
        </w:rPr>
        <w:t>然而，当前行业发展中缺乏针对固态变压器的统一技术规范，现有相关标准多面向传统工频变压器，针对性不足、指标体系分散，导致不同企业生产的产品在转换效率、绝缘耐压等级、动态负载响应速度、电磁兼容水平、接口规格、智能监控功能等关键指标上差异显著。部分企业存在产品性能虚标、稳定性不足、兼容性差、运维接口不统一等问题，不仅大幅增加了用户选型、系统集成的难度与风险，还因设备互换性差、运维标准不统一，导致后期运维成本攀升、系统升级不便，严重制约了固态变压器在各领域的规模化推广应用，也阻碍了行业整体技术水平的协同升级。制定《固态变压器》团体标准的重要性与必要性愈发凸显：一方面，标准能明确固态变压器的核心性能阈值、测试方法、质量评价体系与安全要求，划定行业质量底线，规范市场秩序，有效遏制劣质产品无序竞争，保障用户合法权益；另一方面，统一的技术规范可提升不同品牌、不同型号产品的兼容性与互换性，降低电力系统及各应用领域的集成成本、运维成</w:t>
      </w:r>
      <w:r w:rsidRPr="00735EC9">
        <w:rPr>
          <w:rFonts w:ascii="宋体" w:hAnsi="宋体" w:cs="宋体" w:hint="eastAsia"/>
        </w:rPr>
        <w:lastRenderedPageBreak/>
        <w:t>本与升级成本，推动上下游产业链（核心器件、整机制造、系统集成、运维服务）协同发展。同时，标准的建立能引导企业聚焦核心技术创新，重点突破宽禁带半导体应用、高频磁集成、智能控制等关键技术瓶颈，助力国产固态变压器在高效化、高可靠性、小型化领域实现突破，提升国产产品的核心竞争力，为新型电力系统建设与能源低碳转型提供坚实的技术支撑</w:t>
      </w:r>
      <w:r>
        <w:rPr>
          <w:rFonts w:ascii="宋体" w:hAnsi="宋体" w:cs="宋体" w:hint="eastAsia"/>
        </w:rPr>
        <w:t>。</w:t>
      </w:r>
    </w:p>
    <w:p w14:paraId="59DD44A9"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2.意义</w:t>
      </w:r>
    </w:p>
    <w:p w14:paraId="189FE907" w14:textId="5A7ABF14" w:rsidR="00203CDB" w:rsidRDefault="00C3545C">
      <w:pPr>
        <w:pStyle w:val="ab"/>
        <w:widowControl/>
        <w:spacing w:beforeAutospacing="0" w:afterAutospacing="0" w:line="520" w:lineRule="exact"/>
        <w:ind w:firstLineChars="200" w:firstLine="480"/>
        <w:jc w:val="both"/>
        <w:rPr>
          <w:rFonts w:ascii="宋体" w:hAnsi="宋体" w:cs="宋体"/>
        </w:rPr>
      </w:pPr>
      <w:r w:rsidRPr="00C3545C">
        <w:rPr>
          <w:rFonts w:ascii="宋体" w:hAnsi="宋体" w:cs="宋体"/>
        </w:rPr>
        <w:t>近年来，国家高度重视新型电力系统建设与能源低碳转型发展，陆续出台《节能装备高质量发展实施方案（2026—2028年）》《关于更高水平更高质量做好节能降碳工作的意见》等政策文件，其中明确指出，要加快推进高效电力电子装备研发与产业化，将固态变压器列为国家战略级节能装备重点推广方向，明确支持“高效化、集成化、智能化”电力电子装备研发，深入推进标准化工作，加快基础共性和关键技术标准制修订，为新型电力系统建设、新能源并网消纳与能源低碳转型提供政策支撑。为积极响应我国政策，推进新型电力系统领域标准化体系建设，促进固态变压器行业实现绿色低碳、高效可靠发展</w:t>
      </w:r>
      <w:r w:rsidR="002A096E">
        <w:rPr>
          <w:rFonts w:ascii="宋体" w:hAnsi="宋体" w:cs="宋体" w:hint="eastAsia"/>
        </w:rPr>
        <w:t>，亟需组织相关机构开展《</w:t>
      </w:r>
      <w:r>
        <w:rPr>
          <w:rFonts w:ascii="宋体" w:hAnsi="宋体" w:cs="宋体" w:hint="eastAsia"/>
        </w:rPr>
        <w:t>固态变压器通用技术规范</w:t>
      </w:r>
      <w:r w:rsidR="002A096E">
        <w:rPr>
          <w:rFonts w:ascii="宋体" w:hAnsi="宋体" w:cs="宋体" w:hint="eastAsia"/>
        </w:rPr>
        <w:t>》的标准制定，为行业标准化能力提升提供标准依据和技术支撑。</w:t>
      </w:r>
    </w:p>
    <w:bookmarkEnd w:id="0"/>
    <w:p w14:paraId="49BB7F05"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（四）主要工作过程</w:t>
      </w:r>
    </w:p>
    <w:p w14:paraId="3904B59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1.前期准备工作</w:t>
      </w:r>
    </w:p>
    <w:p w14:paraId="04B816D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项目立项前，标准编制小组查阅、研读相关国内外文献，广泛搜集相关的材料。同时，标准编制小组安排相关人员，多次与相关行业人员进行调研、交流，广泛征求标准制定方面的意见和建议。</w:t>
      </w:r>
    </w:p>
    <w:p w14:paraId="2551D30F" w14:textId="17985AF9"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2026年4月</w:t>
      </w:r>
      <w:r w:rsidR="002A096E">
        <w:rPr>
          <w:rFonts w:ascii="宋体" w:hAnsi="宋体" w:cs="宋体" w:hint="eastAsia"/>
        </w:rPr>
        <w:t>22</w:t>
      </w:r>
      <w:r>
        <w:rPr>
          <w:rFonts w:ascii="宋体" w:hAnsi="宋体" w:cs="宋体" w:hint="eastAsia"/>
        </w:rPr>
        <w:t>日本团体标准由中国欧洲经济技术合作协会正式立项，立项名称为：《</w:t>
      </w:r>
      <w:r w:rsidR="00C3545C">
        <w:rPr>
          <w:rFonts w:ascii="宋体" w:hAnsi="宋体" w:cs="宋体" w:hint="eastAsia"/>
        </w:rPr>
        <w:t>固态变压器通用技术规范</w:t>
      </w:r>
      <w:r>
        <w:rPr>
          <w:rFonts w:ascii="宋体" w:hAnsi="宋体" w:cs="宋体" w:hint="eastAsia"/>
        </w:rPr>
        <w:t>》。</w:t>
      </w:r>
    </w:p>
    <w:p w14:paraId="4F1AB7D2"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2.标准起草过程</w:t>
      </w:r>
    </w:p>
    <w:p w14:paraId="4F0AD72B"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2026年4月，团体标准立项通知公示后，标准编制小组首先组织了标准制定工作会议，各编写人员根据工作计划分工和编写要求开展了相关工作。在标准起草期间，编</w:t>
      </w:r>
      <w:r>
        <w:rPr>
          <w:rFonts w:ascii="宋体" w:hAnsi="宋体" w:cs="宋体" w:hint="eastAsia"/>
        </w:rPr>
        <w:lastRenderedPageBreak/>
        <w:t>制小组主编单位及参编单位组织了数次内部研讨会和专家咨询会，经过多次修改，于2026年5月初完成了标准初稿及编制说明的撰写工作。</w:t>
      </w:r>
    </w:p>
    <w:p w14:paraId="6DED6B54"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标准编制原则和依据</w:t>
      </w:r>
    </w:p>
    <w:p w14:paraId="483B6622"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（一）编制原则</w:t>
      </w:r>
    </w:p>
    <w:p w14:paraId="29CA007E"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标准起草小组在编制标准过程中，以国家、行业现有的标准为制订基础，结合我国目前的行业现状，按照GB/T 1.1—2020《标准化工作导则 第1部分：标准化文件的结构和起草规则》的规定及相关要求编制。</w:t>
      </w:r>
    </w:p>
    <w:p w14:paraId="4581A8F5" w14:textId="77777777" w:rsidR="00203CDB" w:rsidRDefault="00000000">
      <w:pPr>
        <w:snapToGrid w:val="0"/>
        <w:spacing w:line="52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（二）标准主要内容与确定依据</w:t>
      </w:r>
    </w:p>
    <w:p w14:paraId="1A3B87E9"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1.标准主要内容</w:t>
      </w:r>
    </w:p>
    <w:p w14:paraId="78D9C55D"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1.1 范围</w:t>
      </w:r>
    </w:p>
    <w:p w14:paraId="55758B2D" w14:textId="309F77ED" w:rsidR="00203CDB" w:rsidRDefault="00F14A32">
      <w:pPr>
        <w:pStyle w:val="ab"/>
        <w:widowControl/>
        <w:spacing w:beforeAutospacing="0" w:afterAutospacing="0" w:line="520" w:lineRule="exact"/>
        <w:ind w:firstLineChars="200" w:firstLine="480"/>
        <w:jc w:val="both"/>
        <w:rPr>
          <w:rFonts w:ascii="宋体" w:hAnsi="宋体" w:cs="宋体"/>
        </w:rPr>
      </w:pPr>
      <w:r w:rsidRPr="00F14A32">
        <w:rPr>
          <w:rFonts w:ascii="宋体" w:hAnsi="宋体" w:cs="宋体"/>
        </w:rPr>
        <w:t>固态变压器（以下简称“变压器”）的术语和定义、缩略语、技术要求、功能要求、试验方法、检验规则、标志、包装、运输和贮存</w:t>
      </w:r>
      <w:r w:rsidR="006A7FCD">
        <w:rPr>
          <w:rFonts w:ascii="宋体" w:hAnsi="宋体" w:cs="宋体" w:hint="eastAsia"/>
        </w:rPr>
        <w:t>。</w:t>
      </w:r>
    </w:p>
    <w:p w14:paraId="19692A12" w14:textId="18D854AD" w:rsidR="00203CDB" w:rsidRDefault="0072491F" w:rsidP="006A7FCD">
      <w:pPr>
        <w:pStyle w:val="ab"/>
        <w:widowControl/>
        <w:spacing w:beforeAutospacing="0" w:afterAutospacing="0" w:line="520" w:lineRule="exact"/>
        <w:ind w:firstLineChars="200" w:firstLine="480"/>
        <w:jc w:val="both"/>
        <w:rPr>
          <w:rFonts w:ascii="宋体" w:hAnsi="宋体" w:cs="宋体"/>
        </w:rPr>
      </w:pPr>
      <w:r w:rsidRPr="0072491F">
        <w:rPr>
          <w:rFonts w:ascii="宋体" w:hAnsi="宋体" w:cs="宋体"/>
        </w:rPr>
        <w:t>本文件适用于固态变压器</w:t>
      </w:r>
      <w:r w:rsidR="006A7FCD">
        <w:rPr>
          <w:rFonts w:ascii="宋体" w:hAnsi="宋体" w:cs="宋体" w:hint="eastAsia"/>
        </w:rPr>
        <w:t>。</w:t>
      </w:r>
    </w:p>
    <w:p w14:paraId="727FBD84"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1.2 规范性引用文件</w:t>
      </w:r>
    </w:p>
    <w:p w14:paraId="6C292E0D"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191 包装储运图示标志</w:t>
      </w:r>
    </w:p>
    <w:p w14:paraId="02D8A721"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311.1 高压输变电设备的绝缘配合</w:t>
      </w:r>
    </w:p>
    <w:p w14:paraId="4C9060F3"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bookmarkStart w:id="1" w:name="OLE_LINK15"/>
      <w:r w:rsidRPr="008E50FB">
        <w:rPr>
          <w:rFonts w:ascii="宋体" w:hAnsi="宋体" w:cs="宋体" w:hint="eastAsia"/>
        </w:rPr>
        <w:t>GB/T 2423</w:t>
      </w:r>
      <w:bookmarkEnd w:id="1"/>
      <w:r w:rsidRPr="008E50FB">
        <w:rPr>
          <w:rFonts w:ascii="宋体" w:hAnsi="宋体" w:cs="宋体" w:hint="eastAsia"/>
        </w:rPr>
        <w:t>.1 电工电子产品环境试验 第2部分：试验方法试验A：低温</w:t>
      </w:r>
    </w:p>
    <w:p w14:paraId="59E41A74"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2423.2 电工电子产品环境试验 第2部分：试验方法试验B：高温</w:t>
      </w:r>
    </w:p>
    <w:p w14:paraId="1ED7AC42"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2423.4 电工电子产品基本环境试验规程试验Db：交变湿热试验方法</w:t>
      </w:r>
    </w:p>
    <w:p w14:paraId="52F82AD4"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2900.1 电工术语 基本术语</w:t>
      </w:r>
    </w:p>
    <w:p w14:paraId="158FF277"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3859.2 半导体变流器 通用要求和电网换相变流器 第1-2部分：应用导则</w:t>
      </w:r>
    </w:p>
    <w:p w14:paraId="4E5584D7"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rPr>
        <w:t xml:space="preserve">GB/T 4208  </w:t>
      </w:r>
      <w:r w:rsidRPr="008E50FB">
        <w:rPr>
          <w:rFonts w:ascii="Times New Roman" w:hAnsi="Times New Roman"/>
        </w:rPr>
        <w:t>‌</w:t>
      </w:r>
      <w:r w:rsidRPr="008E50FB">
        <w:rPr>
          <w:rFonts w:ascii="宋体" w:hAnsi="宋体" w:cs="宋体" w:hint="eastAsia"/>
        </w:rPr>
        <w:t>外壳防护等级</w:t>
      </w:r>
      <w:r w:rsidRPr="008E50FB">
        <w:rPr>
          <w:rFonts w:ascii="宋体" w:hAnsi="宋体" w:cs="宋体"/>
        </w:rPr>
        <w:t xml:space="preserve"> (IP </w:t>
      </w:r>
      <w:r w:rsidRPr="008E50FB">
        <w:rPr>
          <w:rFonts w:ascii="宋体" w:hAnsi="宋体" w:cs="宋体" w:hint="eastAsia"/>
        </w:rPr>
        <w:t>代码</w:t>
      </w:r>
      <w:r w:rsidRPr="008E50FB">
        <w:rPr>
          <w:rFonts w:ascii="宋体" w:hAnsi="宋体" w:cs="宋体"/>
        </w:rPr>
        <w:t>)</w:t>
      </w:r>
    </w:p>
    <w:p w14:paraId="41D5FC21"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5226.1 机械电气安全 机械电气设备 第1部分：通用技术条件</w:t>
      </w:r>
    </w:p>
    <w:p w14:paraId="49365787"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9254.1 信息技术设备、多媒体设备和接收机电磁兼容 第1部分：发射要求</w:t>
      </w:r>
    </w:p>
    <w:p w14:paraId="44C8B234"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10236 半导体变流器与供电系统的兼容及干扰防护导则</w:t>
      </w:r>
    </w:p>
    <w:p w14:paraId="62695EC3"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12326 电能质量 电压波动和闪变</w:t>
      </w:r>
    </w:p>
    <w:p w14:paraId="7F6551ED"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lastRenderedPageBreak/>
        <w:t>GB/T 13384 机电产品包装通用技术条件</w:t>
      </w:r>
    </w:p>
    <w:p w14:paraId="6D04F14C"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bookmarkStart w:id="2" w:name="OLE_LINK16"/>
      <w:r w:rsidRPr="008E50FB">
        <w:rPr>
          <w:rFonts w:ascii="宋体" w:hAnsi="宋体" w:cs="宋体" w:hint="eastAsia"/>
        </w:rPr>
        <w:t>GB/T 14598.26</w:t>
      </w:r>
      <w:bookmarkEnd w:id="2"/>
      <w:r w:rsidRPr="008E50FB">
        <w:rPr>
          <w:rFonts w:ascii="宋体" w:hAnsi="宋体" w:cs="宋体" w:hint="eastAsia"/>
        </w:rPr>
        <w:t xml:space="preserve">  量度继电器和保护装置 第26部分：电磁兼容要求</w:t>
      </w:r>
    </w:p>
    <w:p w14:paraId="71A9E8B7"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14549 电能质量 公用电网谐波</w:t>
      </w:r>
    </w:p>
    <w:p w14:paraId="1E51BB47"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15543 电能质量 三相电压不平衡</w:t>
      </w:r>
    </w:p>
    <w:p w14:paraId="408A63F1"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bookmarkStart w:id="3" w:name="OLE_LINK17"/>
      <w:r w:rsidRPr="008E50FB">
        <w:rPr>
          <w:rFonts w:ascii="宋体" w:hAnsi="宋体" w:cs="宋体" w:hint="eastAsia"/>
        </w:rPr>
        <w:t>GB/T 16927</w:t>
      </w:r>
      <w:bookmarkEnd w:id="3"/>
      <w:r w:rsidRPr="008E50FB">
        <w:rPr>
          <w:rFonts w:ascii="宋体" w:hAnsi="宋体" w:cs="宋体" w:hint="eastAsia"/>
        </w:rPr>
        <w:t>.1 高电压试验技术 第一部分：一般试验要求</w:t>
      </w:r>
    </w:p>
    <w:p w14:paraId="1828E387"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16927.2 高压试验技术 高电压试验技术 第2部分：测量系统</w:t>
      </w:r>
    </w:p>
    <w:p w14:paraId="73AD76C0"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20626.1 特殊环境条件 高原电工电子产品 第1部分：通用技术要求</w:t>
      </w:r>
    </w:p>
    <w:p w14:paraId="60B1933E"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25387 风力发电机组 全功率变流器</w:t>
      </w:r>
    </w:p>
    <w:p w14:paraId="176A9628"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26218.1 污秽条件下使用的高压绝缘子的选择和尺寸确定 第1部分：定义、信息和一般原则</w:t>
      </w:r>
    </w:p>
    <w:p w14:paraId="6F0F2DD5"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26218.1 污秽条件下使用的高压绝缘子的选择和尺寸确定 第2部分：交流系统用瓷和玻璃绝缘子</w:t>
      </w:r>
    </w:p>
    <w:p w14:paraId="345E3226"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GB/T 40097  能源路由器功能规范和技术要求</w:t>
      </w:r>
    </w:p>
    <w:p w14:paraId="1CB6B9B1" w14:textId="77777777" w:rsidR="008E50FB" w:rsidRP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JB/T 14260 电能路由器技术条件</w:t>
      </w:r>
    </w:p>
    <w:p w14:paraId="48BF9AC6" w14:textId="77777777" w:rsidR="008E50FB" w:rsidRDefault="008E50FB" w:rsidP="008E50FB">
      <w:pPr>
        <w:pStyle w:val="ab"/>
        <w:widowControl/>
        <w:spacing w:beforeAutospacing="0" w:afterAutospacing="0" w:line="520" w:lineRule="exact"/>
        <w:ind w:firstLineChars="200" w:firstLine="480"/>
        <w:jc w:val="both"/>
        <w:rPr>
          <w:rFonts w:ascii="宋体" w:hAnsi="宋体" w:cs="宋体"/>
        </w:rPr>
      </w:pPr>
      <w:r w:rsidRPr="008E50FB">
        <w:rPr>
          <w:rFonts w:ascii="宋体" w:hAnsi="宋体" w:cs="宋体" w:hint="eastAsia"/>
        </w:rPr>
        <w:t>JB/T 14261 电能路由器试验方法</w:t>
      </w:r>
    </w:p>
    <w:p w14:paraId="75C59F2C" w14:textId="47595285" w:rsidR="00C60047" w:rsidRDefault="00C60047" w:rsidP="008E50FB">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1.3术语和定义</w:t>
      </w:r>
    </w:p>
    <w:p w14:paraId="3C327002" w14:textId="7601F367" w:rsidR="00C60047" w:rsidRDefault="00C60047" w:rsidP="00C60047">
      <w:pPr>
        <w:pStyle w:val="ab"/>
        <w:widowControl/>
        <w:spacing w:beforeAutospacing="0" w:afterAutospacing="0" w:line="520" w:lineRule="exact"/>
        <w:ind w:firstLineChars="200" w:firstLine="480"/>
        <w:jc w:val="both"/>
        <w:rPr>
          <w:rFonts w:ascii="宋体" w:hAnsi="宋体" w:cs="宋体"/>
        </w:rPr>
      </w:pPr>
      <w:bookmarkStart w:id="4" w:name="OLE_LINK4"/>
      <w:r>
        <w:rPr>
          <w:rFonts w:ascii="宋体" w:hAnsi="宋体" w:cs="宋体" w:hint="eastAsia"/>
        </w:rPr>
        <w:t>对</w:t>
      </w:r>
      <w:r w:rsidR="00B3280E">
        <w:rPr>
          <w:rFonts w:ascii="宋体" w:hAnsi="宋体" w:cs="宋体" w:hint="eastAsia"/>
        </w:rPr>
        <w:t>固态变压器</w:t>
      </w:r>
      <w:r>
        <w:rPr>
          <w:rFonts w:ascii="宋体" w:hAnsi="宋体" w:cs="宋体" w:hint="eastAsia"/>
        </w:rPr>
        <w:t>的</w:t>
      </w:r>
      <w:bookmarkEnd w:id="4"/>
      <w:r>
        <w:rPr>
          <w:rFonts w:ascii="宋体" w:hAnsi="宋体" w:cs="宋体" w:hint="eastAsia"/>
        </w:rPr>
        <w:t>术语和定义进行规定</w:t>
      </w:r>
      <w:r w:rsidR="00CC599E">
        <w:rPr>
          <w:rFonts w:ascii="宋体" w:hAnsi="宋体" w:cs="宋体" w:hint="eastAsia"/>
        </w:rPr>
        <w:t>。</w:t>
      </w:r>
    </w:p>
    <w:p w14:paraId="060FF526" w14:textId="576A8525"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 xml:space="preserve">1.4 </w:t>
      </w:r>
      <w:r w:rsidR="008E50FB">
        <w:rPr>
          <w:rFonts w:ascii="宋体" w:hAnsi="宋体" w:cs="宋体" w:hint="eastAsia"/>
        </w:rPr>
        <w:t>使用条件</w:t>
      </w:r>
    </w:p>
    <w:p w14:paraId="2D3C71AC" w14:textId="565BE8D1" w:rsidR="00203CDB" w:rsidRDefault="00DA266B">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r w:rsidR="00B3280E">
        <w:rPr>
          <w:rFonts w:ascii="宋体" w:hAnsi="宋体" w:cs="宋体" w:hint="eastAsia"/>
        </w:rPr>
        <w:t>固态变压器</w:t>
      </w:r>
      <w:r>
        <w:rPr>
          <w:rFonts w:ascii="宋体" w:hAnsi="宋体" w:cs="宋体" w:hint="eastAsia"/>
        </w:rPr>
        <w:t>的</w:t>
      </w:r>
      <w:r w:rsidR="002403F0">
        <w:rPr>
          <w:rFonts w:ascii="宋体" w:hAnsi="宋体" w:cs="宋体" w:hint="eastAsia"/>
        </w:rPr>
        <w:t>使用条件</w:t>
      </w:r>
      <w:r>
        <w:rPr>
          <w:rFonts w:ascii="宋体" w:hAnsi="宋体" w:cs="宋体" w:hint="eastAsia"/>
        </w:rPr>
        <w:t>进行规定。</w:t>
      </w:r>
    </w:p>
    <w:p w14:paraId="02E1962D" w14:textId="49A2A9F3"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w:t>
      </w:r>
      <w:r w:rsidR="002F7A47">
        <w:rPr>
          <w:rFonts w:ascii="宋体" w:hAnsi="宋体" w:cs="宋体" w:hint="eastAsia"/>
        </w:rPr>
        <w:t>5</w:t>
      </w:r>
      <w:r>
        <w:rPr>
          <w:rFonts w:ascii="宋体" w:hAnsi="宋体" w:cs="宋体" w:hint="eastAsia"/>
        </w:rPr>
        <w:t xml:space="preserve"> 技术要求</w:t>
      </w:r>
    </w:p>
    <w:p w14:paraId="234AE2CA" w14:textId="4F9CF385"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r w:rsidR="00B3280E">
        <w:rPr>
          <w:rFonts w:ascii="宋体" w:hAnsi="宋体" w:cs="宋体" w:hint="eastAsia"/>
        </w:rPr>
        <w:t>固态变压器</w:t>
      </w:r>
      <w:r w:rsidR="005E7999">
        <w:rPr>
          <w:rFonts w:ascii="宋体" w:hAnsi="宋体" w:cs="宋体" w:hint="eastAsia"/>
        </w:rPr>
        <w:t>的技术要求</w:t>
      </w:r>
      <w:r>
        <w:rPr>
          <w:rFonts w:ascii="宋体" w:hAnsi="宋体" w:cs="宋体" w:hint="eastAsia"/>
        </w:rPr>
        <w:t>进行规定。</w:t>
      </w:r>
    </w:p>
    <w:p w14:paraId="6C7BC6E9" w14:textId="35258988" w:rsidR="002F7A47" w:rsidRPr="002F7A47" w:rsidRDefault="002F7A47" w:rsidP="002F7A47">
      <w:pPr>
        <w:pStyle w:val="ab"/>
        <w:widowControl/>
        <w:spacing w:beforeAutospacing="0" w:afterAutospacing="0" w:line="520" w:lineRule="exact"/>
        <w:ind w:firstLineChars="200" w:firstLine="480"/>
        <w:jc w:val="both"/>
        <w:rPr>
          <w:rFonts w:ascii="宋体" w:hAnsi="宋体" w:cs="宋体"/>
        </w:rPr>
      </w:pPr>
      <w:r w:rsidRPr="002F7A47">
        <w:rPr>
          <w:rFonts w:ascii="宋体" w:hAnsi="宋体" w:cs="宋体"/>
        </w:rPr>
        <w:t>1.</w:t>
      </w:r>
      <w:r>
        <w:rPr>
          <w:rFonts w:ascii="宋体" w:hAnsi="宋体" w:cs="宋体" w:hint="eastAsia"/>
        </w:rPr>
        <w:t>6</w:t>
      </w:r>
      <w:r w:rsidRPr="002F7A47">
        <w:rPr>
          <w:rFonts w:ascii="宋体" w:hAnsi="宋体" w:cs="宋体"/>
        </w:rPr>
        <w:t xml:space="preserve"> 功能要求</w:t>
      </w:r>
    </w:p>
    <w:p w14:paraId="638ADAA5" w14:textId="77777777" w:rsidR="002F7A47" w:rsidRPr="002F7A47" w:rsidRDefault="002F7A47" w:rsidP="002F7A47">
      <w:pPr>
        <w:pStyle w:val="ab"/>
        <w:widowControl/>
        <w:spacing w:beforeAutospacing="0" w:afterAutospacing="0" w:line="520" w:lineRule="exact"/>
        <w:ind w:firstLineChars="200" w:firstLine="480"/>
        <w:jc w:val="both"/>
        <w:rPr>
          <w:rFonts w:ascii="宋体" w:hAnsi="宋体" w:cs="宋体"/>
        </w:rPr>
      </w:pPr>
      <w:r w:rsidRPr="002F7A47">
        <w:rPr>
          <w:rFonts w:ascii="宋体" w:hAnsi="宋体" w:cs="宋体"/>
        </w:rPr>
        <w:t>对固态变压器的功能要求进行规定。</w:t>
      </w:r>
    </w:p>
    <w:p w14:paraId="0AEB19D5" w14:textId="6B33D09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w:t>
      </w:r>
      <w:r w:rsidR="002F7A47">
        <w:rPr>
          <w:rFonts w:ascii="宋体" w:hAnsi="宋体" w:cs="宋体" w:hint="eastAsia"/>
        </w:rPr>
        <w:t>7</w:t>
      </w:r>
      <w:r>
        <w:rPr>
          <w:rFonts w:ascii="宋体" w:hAnsi="宋体" w:cs="宋体" w:hint="eastAsia"/>
        </w:rPr>
        <w:t xml:space="preserve"> 试验方法</w:t>
      </w:r>
    </w:p>
    <w:p w14:paraId="784ABE91" w14:textId="6C998ABE"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bookmarkStart w:id="5" w:name="OLE_LINK6"/>
      <w:r w:rsidR="00B3280E">
        <w:rPr>
          <w:rFonts w:ascii="宋体" w:hAnsi="宋体" w:cs="宋体" w:hint="eastAsia"/>
        </w:rPr>
        <w:t>固态变压器</w:t>
      </w:r>
      <w:r w:rsidR="005E7999">
        <w:rPr>
          <w:rFonts w:ascii="宋体" w:hAnsi="宋体" w:cs="宋体" w:hint="eastAsia"/>
        </w:rPr>
        <w:t>的</w:t>
      </w:r>
      <w:bookmarkEnd w:id="5"/>
      <w:r w:rsidR="005E7999">
        <w:rPr>
          <w:rFonts w:ascii="宋体" w:hAnsi="宋体" w:cs="宋体" w:hint="eastAsia"/>
        </w:rPr>
        <w:t>试验方法</w:t>
      </w:r>
      <w:r>
        <w:rPr>
          <w:rFonts w:ascii="宋体" w:hAnsi="宋体" w:cs="宋体" w:hint="eastAsia"/>
        </w:rPr>
        <w:t>进行规定。</w:t>
      </w:r>
    </w:p>
    <w:p w14:paraId="667DB7BC" w14:textId="2095B723"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w:t>
      </w:r>
      <w:r w:rsidR="002F7A47">
        <w:rPr>
          <w:rFonts w:ascii="宋体" w:hAnsi="宋体" w:cs="宋体" w:hint="eastAsia"/>
        </w:rPr>
        <w:t>8</w:t>
      </w:r>
      <w:r>
        <w:rPr>
          <w:rFonts w:ascii="宋体" w:hAnsi="宋体" w:cs="宋体" w:hint="eastAsia"/>
        </w:rPr>
        <w:t xml:space="preserve"> 检验规则</w:t>
      </w:r>
    </w:p>
    <w:p w14:paraId="7FFE9942" w14:textId="2D1F1C43"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lastRenderedPageBreak/>
        <w:t>对</w:t>
      </w:r>
      <w:r w:rsidR="00B3280E">
        <w:rPr>
          <w:rFonts w:ascii="宋体" w:hAnsi="宋体" w:cs="宋体" w:hint="eastAsia"/>
        </w:rPr>
        <w:t>固态变压器</w:t>
      </w:r>
      <w:r w:rsidR="00E316AC">
        <w:rPr>
          <w:rFonts w:ascii="宋体" w:hAnsi="宋体" w:cs="宋体" w:hint="eastAsia"/>
        </w:rPr>
        <w:t>的</w:t>
      </w:r>
      <w:r>
        <w:rPr>
          <w:rFonts w:ascii="宋体" w:hAnsi="宋体" w:cs="宋体" w:hint="eastAsia"/>
        </w:rPr>
        <w:t>检验规则进行规定</w:t>
      </w:r>
    </w:p>
    <w:p w14:paraId="654A83BE" w14:textId="678D438C"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1.</w:t>
      </w:r>
      <w:r w:rsidR="002F7A47">
        <w:rPr>
          <w:rFonts w:ascii="宋体" w:hAnsi="宋体" w:cs="宋体" w:hint="eastAsia"/>
        </w:rPr>
        <w:t>9</w:t>
      </w:r>
      <w:r>
        <w:rPr>
          <w:rFonts w:ascii="宋体" w:hAnsi="宋体" w:cs="宋体" w:hint="eastAsia"/>
        </w:rPr>
        <w:t xml:space="preserve"> 标志、包装、运输</w:t>
      </w:r>
      <w:r w:rsidR="008E50FB">
        <w:rPr>
          <w:rFonts w:ascii="宋体" w:hAnsi="宋体" w:cs="宋体" w:hint="eastAsia"/>
        </w:rPr>
        <w:t>、</w:t>
      </w:r>
      <w:r>
        <w:rPr>
          <w:rFonts w:ascii="宋体" w:hAnsi="宋体" w:cs="宋体" w:hint="eastAsia"/>
        </w:rPr>
        <w:t>贮存</w:t>
      </w:r>
      <w:r w:rsidR="008E50FB">
        <w:rPr>
          <w:rFonts w:ascii="宋体" w:hAnsi="宋体" w:cs="宋体" w:hint="eastAsia"/>
        </w:rPr>
        <w:t>和技术文件</w:t>
      </w:r>
    </w:p>
    <w:p w14:paraId="76ACF925" w14:textId="6DDA54F5"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对</w:t>
      </w:r>
      <w:r w:rsidR="00B3280E">
        <w:rPr>
          <w:rFonts w:ascii="宋体" w:hAnsi="宋体" w:cs="宋体" w:hint="eastAsia"/>
        </w:rPr>
        <w:t>固态变压器通用技术规范</w:t>
      </w:r>
      <w:r>
        <w:rPr>
          <w:rFonts w:ascii="宋体" w:hAnsi="宋体" w:cs="宋体" w:hint="eastAsia"/>
        </w:rPr>
        <w:t>的标志、包装、运输</w:t>
      </w:r>
      <w:r w:rsidR="00FA2E4A">
        <w:rPr>
          <w:rFonts w:ascii="宋体" w:hAnsi="宋体" w:cs="宋体" w:hint="eastAsia"/>
        </w:rPr>
        <w:t>、</w:t>
      </w:r>
      <w:r>
        <w:rPr>
          <w:rFonts w:ascii="宋体" w:hAnsi="宋体" w:cs="宋体" w:hint="eastAsia"/>
        </w:rPr>
        <w:t>贮存</w:t>
      </w:r>
      <w:r w:rsidR="00FA2E4A">
        <w:rPr>
          <w:rFonts w:ascii="宋体" w:hAnsi="宋体" w:cs="宋体" w:hint="eastAsia"/>
        </w:rPr>
        <w:t>和技术文件</w:t>
      </w:r>
      <w:r>
        <w:rPr>
          <w:rFonts w:ascii="宋体" w:hAnsi="宋体" w:cs="宋体" w:hint="eastAsia"/>
        </w:rPr>
        <w:t>进行规定。</w:t>
      </w:r>
    </w:p>
    <w:p w14:paraId="64DEFA93" w14:textId="77777777" w:rsidR="00203CDB" w:rsidRDefault="00000000">
      <w:pPr>
        <w:pStyle w:val="ab"/>
        <w:widowControl/>
        <w:spacing w:beforeAutospacing="0" w:afterAutospacing="0" w:line="520" w:lineRule="exact"/>
        <w:ind w:firstLineChars="200" w:firstLine="480"/>
        <w:jc w:val="both"/>
        <w:rPr>
          <w:rFonts w:ascii="宋体" w:hAnsi="宋体" w:cs="宋体"/>
        </w:rPr>
      </w:pPr>
      <w:r>
        <w:rPr>
          <w:rFonts w:ascii="宋体" w:hAnsi="宋体" w:cs="宋体" w:hint="eastAsia"/>
        </w:rPr>
        <w:t>2.确定标准主要内容的依据</w:t>
      </w:r>
    </w:p>
    <w:p w14:paraId="593FB63D" w14:textId="20DD7A25" w:rsidR="00203CDB" w:rsidRDefault="002E6E5C">
      <w:pPr>
        <w:pStyle w:val="ab"/>
        <w:widowControl/>
        <w:spacing w:beforeAutospacing="0" w:afterAutospacing="0" w:line="520" w:lineRule="exact"/>
        <w:ind w:firstLineChars="200" w:firstLine="480"/>
        <w:jc w:val="both"/>
        <w:rPr>
          <w:rFonts w:ascii="宋体" w:hAnsi="宋体" w:cs="宋体"/>
        </w:rPr>
      </w:pPr>
      <w:r w:rsidRPr="002E6E5C">
        <w:rPr>
          <w:rFonts w:ascii="宋体" w:hAnsi="宋体" w:cs="宋体"/>
        </w:rPr>
        <w:t>本标准主要内容依据国家《节能装备高质量发展实施方案（2026—2028年）》《关于更高水平更高质量做好节能降碳工作的意见》等政策文件中关于高效化、集成化、智能化电力电子装备研发与标准体系建设的要求确定，严格按照 GB/T 1.1—2020《标准化工作导则 第 1 部分：标准化文件的结构和起草规则》编制，全面引</w:t>
      </w:r>
      <w:bookmarkStart w:id="6" w:name="OLE_LINK18"/>
      <w:r w:rsidRPr="002E6E5C">
        <w:rPr>
          <w:rFonts w:ascii="宋体" w:hAnsi="宋体" w:cs="宋体"/>
        </w:rPr>
        <w:t>用GB/T 191、GB/T 2423系列、</w:t>
      </w:r>
      <w:r w:rsidR="00C74DD1" w:rsidRPr="00C74DD1">
        <w:rPr>
          <w:rFonts w:ascii="宋体" w:hAnsi="宋体" w:cs="宋体"/>
        </w:rPr>
        <w:t>GB/T 14598.26</w:t>
      </w:r>
      <w:r w:rsidRPr="002E6E5C">
        <w:rPr>
          <w:rFonts w:ascii="宋体" w:hAnsi="宋体" w:cs="宋体"/>
        </w:rPr>
        <w:t>、</w:t>
      </w:r>
      <w:r w:rsidR="00C74DD1" w:rsidRPr="00C74DD1">
        <w:rPr>
          <w:rFonts w:ascii="宋体" w:hAnsi="宋体" w:cs="宋体"/>
        </w:rPr>
        <w:t>GB/T 16927</w:t>
      </w:r>
      <w:r w:rsidR="00C74DD1">
        <w:rPr>
          <w:rFonts w:ascii="宋体" w:hAnsi="宋体" w:cs="宋体" w:hint="eastAsia"/>
        </w:rPr>
        <w:t>系列</w:t>
      </w:r>
      <w:bookmarkEnd w:id="6"/>
      <w:r w:rsidRPr="002E6E5C">
        <w:rPr>
          <w:rFonts w:ascii="宋体" w:hAnsi="宋体" w:cs="宋体"/>
        </w:rPr>
        <w:t>等国内外现行有效标准，结合新型电力系统、新能源并网（光伏/风电）、交直流混联配电网、电动汽车充电站、绿电直连、轨道交通、工业制造等实际应用场景的工况需求，聚焦高功率密度、高效转换、低损耗、绝缘耐压、电磁兼容、动态负载响应、电压频率异常穿越、有功无功调控等核心性能指标，同时基于ABB、西门子、华为数字能源、许继集团、南瑞继保等主流固态变压器企业量产工艺、核心器件（SiC/GaN宽禁带半导体）选型、拓扑结构设计数据，兼顾技术先进性与产业可实现性，针对当前行业缺乏统一技术规范、性能指标差异大、设备兼容性不足、质量参差不齐、用户选型困难、运维标准不统一等突出问题，明确技术要求、试验方法、检验规则及标志、包装、运输、贮存等内容，形成科学合理、可落地执行的标准条款，适配固态变压器在多元场景的应用需求，支撑行业规范化发展与技术升级</w:t>
      </w:r>
      <w:r w:rsidR="009E0090">
        <w:rPr>
          <w:rFonts w:ascii="宋体" w:hAnsi="宋体" w:cs="宋体" w:hint="eastAsia"/>
        </w:rPr>
        <w:t>。</w:t>
      </w:r>
    </w:p>
    <w:p w14:paraId="7C3F1E05"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主要试验[或验证]情况分析、技术经济论证、预期经济效果</w:t>
      </w:r>
    </w:p>
    <w:p w14:paraId="1C6F9A2F" w14:textId="1F1086AE" w:rsidR="00203CDB" w:rsidRDefault="005C5149">
      <w:pPr>
        <w:pStyle w:val="ab"/>
        <w:widowControl/>
        <w:spacing w:beforeAutospacing="0" w:afterAutospacing="0" w:line="520" w:lineRule="exact"/>
        <w:ind w:firstLineChars="200" w:firstLine="480"/>
        <w:jc w:val="both"/>
        <w:rPr>
          <w:rFonts w:ascii="宋体" w:hAnsi="宋体" w:cs="宋体"/>
        </w:rPr>
      </w:pPr>
      <w:r w:rsidRPr="005C5149">
        <w:rPr>
          <w:rFonts w:ascii="宋体" w:hAnsi="宋体" w:cs="宋体"/>
        </w:rPr>
        <w:t>本标准编制过程中选取多家起草单位固态变压器样品，依据标准规定开展转换效率、功率因数、绝缘耐压、电磁兼容、动态负载响应、电压频率异常穿越、有功无功调控等电气性能测试，以及高温、低温、恒定湿热、温度/湿度/电磁干扰综合、盐雾、振动、冲击等环境适应性试验，同时开展功率密度指标与接口兼容性验证，结果显示样品电气性能符合</w:t>
      </w:r>
      <w:r>
        <w:rPr>
          <w:rFonts w:ascii="宋体" w:hAnsi="宋体" w:cs="宋体" w:hint="eastAsia"/>
        </w:rPr>
        <w:t>相关标准的</w:t>
      </w:r>
      <w:r w:rsidRPr="005C5149">
        <w:rPr>
          <w:rFonts w:ascii="宋体" w:hAnsi="宋体" w:cs="宋体"/>
        </w:rPr>
        <w:t>要求，环境适应能力满足新型电力系统、新能源并网、轨道交通、工业制造等多元场景的复杂工况与连续稳定运行需求，设备损耗较传统工频变压</w:t>
      </w:r>
      <w:r w:rsidRPr="005C5149">
        <w:rPr>
          <w:rFonts w:ascii="宋体" w:hAnsi="宋体" w:cs="宋体"/>
        </w:rPr>
        <w:lastRenderedPageBreak/>
        <w:t>器降低30%～50%，80%负载以上转换效率可达98%以上，谐波畸变率（THD）降至1.5%左右，体积和重量较传统工频变压器大幅降低，不同厂家产品在主流电力系统及各应用领域架构中具备良好互换性与集成兼容性，标准规定指标科学合理、可验证、可实现，同时兼顾低负载工况下的能效优化，避免出现低效运行问题；从技术经济论证来看，标准指标基于成熟量产工艺制定，依托宽禁带半导体（SiC/GaN）、高频磁芯（非晶/纳米晶）等成熟核心器件与拓扑结构设计，企业无需大幅改造产线即可达标，技术可行性高，统一技术规范可显著减少定制开发、兼容调试、售后运维等成本，提升电力系统及各应用领域的集成效率，同时规范行业质量底线，引导企业聚焦宽禁带半导体应用、拓扑结构优化、高频磁集成与能效提升，破解高频变压器容量小、损耗密度高的技术瓶颈，增强国产固态变压器核心竞争力，助力上游核心器件国产化进程，保障产业链供应链安全；预期实施后可推动固态变压器行业规范化、规模化、集约化发展，有效遏制劣质产品与无序竞争，降低产业链整体成本，提升国产产品市场公信力与全球竞争力，有力支撑新型电力系统建设、新能源并网消纳、电动汽车充电、轨道交通等领域高效运行，推动氢电耦合、零碳园区微电网等新兴场景的应用推广，为新型电力系统建设与能源低碳转型提供关键电力装备标准支撑，助力“双碳”目标实现，带来显著产业效益与社会效益</w:t>
      </w:r>
      <w:r w:rsidR="009E0090">
        <w:rPr>
          <w:rFonts w:ascii="宋体" w:hAnsi="宋体" w:cs="宋体" w:hint="eastAsia"/>
        </w:rPr>
        <w:t>。</w:t>
      </w:r>
    </w:p>
    <w:p w14:paraId="007AB400"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与有关的现行法律、法规和强制性国家标准的关系</w:t>
      </w:r>
    </w:p>
    <w:p w14:paraId="7E581CF1" w14:textId="77777777" w:rsidR="00203CDB" w:rsidRDefault="00000000">
      <w:pPr>
        <w:pStyle w:val="ab"/>
        <w:widowControl/>
        <w:spacing w:beforeAutospacing="0" w:afterAutospacing="0" w:line="520" w:lineRule="exact"/>
        <w:ind w:firstLineChars="200" w:firstLine="480"/>
        <w:jc w:val="both"/>
        <w:rPr>
          <w:rFonts w:ascii="Times New Roman" w:hAnsi="Times New Roman"/>
        </w:rPr>
      </w:pPr>
      <w:r>
        <w:rPr>
          <w:rFonts w:ascii="宋体" w:hAnsi="宋体" w:cs="宋体" w:hint="eastAsia"/>
        </w:rPr>
        <w:t>本标准的制定过程、技术要求的选定、试验方法的确定、检验项目设置等符合现行法律、法规和强制性国家标准的规定。</w:t>
      </w:r>
    </w:p>
    <w:p w14:paraId="155B4B8E"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重大分歧意见的处理经过和依据</w:t>
      </w:r>
    </w:p>
    <w:p w14:paraId="6A6E4B4B" w14:textId="77777777" w:rsidR="00203CDB" w:rsidRDefault="00000000">
      <w:pPr>
        <w:pStyle w:val="a5"/>
        <w:spacing w:line="360" w:lineRule="auto"/>
        <w:ind w:firstLineChars="200" w:firstLine="480"/>
        <w:rPr>
          <w:rFonts w:ascii="Times New Roman" w:hAnsi="Times New Roman" w:cs="Times New Roman"/>
          <w:b w:val="0"/>
          <w:bCs w:val="0"/>
          <w:color w:val="auto"/>
          <w:sz w:val="24"/>
          <w:szCs w:val="24"/>
        </w:rPr>
      </w:pPr>
      <w:r>
        <w:rPr>
          <w:rFonts w:ascii="Times New Roman" w:hAnsi="Times New Roman" w:cs="Times New Roman" w:hint="eastAsia"/>
          <w:b w:val="0"/>
          <w:bCs w:val="0"/>
          <w:color w:val="auto"/>
          <w:sz w:val="24"/>
          <w:szCs w:val="24"/>
        </w:rPr>
        <w:t>无。</w:t>
      </w:r>
    </w:p>
    <w:p w14:paraId="244B6BBE"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废止现行有关标准的建议</w:t>
      </w:r>
    </w:p>
    <w:p w14:paraId="7C711649" w14:textId="77777777" w:rsidR="00203CDB" w:rsidRDefault="00000000">
      <w:pPr>
        <w:pStyle w:val="a5"/>
        <w:spacing w:line="360" w:lineRule="auto"/>
        <w:ind w:firstLineChars="200" w:firstLine="480"/>
        <w:rPr>
          <w:rFonts w:ascii="Times New Roman" w:hAnsi="Times New Roman" w:cs="Times New Roman"/>
          <w:b w:val="0"/>
          <w:bCs w:val="0"/>
          <w:color w:val="auto"/>
          <w:sz w:val="24"/>
          <w:szCs w:val="24"/>
        </w:rPr>
      </w:pPr>
      <w:r>
        <w:rPr>
          <w:rFonts w:ascii="Times New Roman" w:hAnsi="Times New Roman" w:cs="Times New Roman" w:hint="eastAsia"/>
          <w:b w:val="0"/>
          <w:bCs w:val="0"/>
          <w:color w:val="auto"/>
          <w:sz w:val="24"/>
          <w:szCs w:val="24"/>
        </w:rPr>
        <w:t>本标准不涉及对现行标准的废止。</w:t>
      </w:r>
    </w:p>
    <w:p w14:paraId="1970EC8D"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知识产权情况说明</w:t>
      </w:r>
    </w:p>
    <w:p w14:paraId="1C2FA4C8"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本文件不涉及必要专利等知识产权情况。</w:t>
      </w:r>
    </w:p>
    <w:p w14:paraId="6AD1520A"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标准作为强制性或推荐性标准的建议</w:t>
      </w:r>
    </w:p>
    <w:p w14:paraId="7B452B1C"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建议该标准作为推荐性团体标准。</w:t>
      </w:r>
    </w:p>
    <w:p w14:paraId="2793DD84"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贯彻标准的要求和措施建议，包括（组织措施、技术措施、过渡办法）</w:t>
      </w:r>
    </w:p>
    <w:p w14:paraId="6EA5CCAB"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本标准首次制定，没有特殊要求。</w:t>
      </w:r>
    </w:p>
    <w:p w14:paraId="69A9B368" w14:textId="77777777" w:rsidR="00203CDB" w:rsidRDefault="00000000">
      <w:pPr>
        <w:numPr>
          <w:ilvl w:val="0"/>
          <w:numId w:val="2"/>
        </w:numPr>
        <w:snapToGrid w:val="0"/>
        <w:spacing w:line="520" w:lineRule="exact"/>
        <w:ind w:firstLineChars="200" w:firstLine="560"/>
        <w:rPr>
          <w:rFonts w:ascii="黑体" w:eastAsia="黑体" w:hAnsi="黑体" w:cs="黑体"/>
          <w:color w:val="333333"/>
          <w:sz w:val="28"/>
          <w:szCs w:val="28"/>
          <w:shd w:val="clear" w:color="auto" w:fill="FFFFFF"/>
        </w:rPr>
      </w:pPr>
      <w:r>
        <w:rPr>
          <w:rFonts w:ascii="黑体" w:eastAsia="黑体" w:hAnsi="黑体" w:cs="黑体" w:hint="eastAsia"/>
          <w:color w:val="333333"/>
          <w:sz w:val="28"/>
          <w:szCs w:val="28"/>
          <w:shd w:val="clear" w:color="auto" w:fill="FFFFFF"/>
        </w:rPr>
        <w:t>其他应予说明的事项</w:t>
      </w:r>
    </w:p>
    <w:p w14:paraId="2E547D37" w14:textId="77777777" w:rsidR="00203CDB" w:rsidRDefault="00000000">
      <w:pPr>
        <w:adjustRightInd/>
        <w:spacing w:line="52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无。</w:t>
      </w:r>
      <w:r>
        <w:rPr>
          <w:rFonts w:ascii="Times New Roman" w:hAnsi="Times New Roman" w:cs="Times New Roman" w:hint="eastAsia"/>
          <w:sz w:val="24"/>
          <w:szCs w:val="24"/>
        </w:rPr>
        <w:t xml:space="preserve"> </w:t>
      </w:r>
    </w:p>
    <w:p w14:paraId="7A54780D" w14:textId="11E6AC17" w:rsidR="00203CDB" w:rsidRDefault="00000000">
      <w:pPr>
        <w:adjustRightInd/>
        <w:spacing w:line="520" w:lineRule="exact"/>
        <w:ind w:right="240" w:firstLineChars="200" w:firstLine="480"/>
        <w:jc w:val="right"/>
        <w:rPr>
          <w:rFonts w:ascii="Times New Roman" w:hAnsi="Times New Roman" w:cs="Times New Roman"/>
          <w:sz w:val="24"/>
          <w:szCs w:val="24"/>
        </w:rPr>
      </w:pPr>
      <w:r>
        <w:rPr>
          <w:rFonts w:ascii="Times New Roman" w:hAnsi="Times New Roman" w:cs="Times New Roman" w:hint="eastAsia"/>
          <w:sz w:val="24"/>
          <w:szCs w:val="24"/>
        </w:rPr>
        <w:t>《</w:t>
      </w:r>
      <w:r w:rsidR="00C3545C">
        <w:rPr>
          <w:rFonts w:ascii="Times New Roman" w:hAnsi="Times New Roman" w:cs="Times New Roman" w:hint="eastAsia"/>
          <w:sz w:val="24"/>
          <w:szCs w:val="24"/>
        </w:rPr>
        <w:t>固态变压器通用技术规范</w:t>
      </w:r>
      <w:r>
        <w:rPr>
          <w:rFonts w:ascii="Times New Roman" w:hAnsi="Times New Roman" w:cs="Times New Roman" w:hint="eastAsia"/>
          <w:sz w:val="24"/>
          <w:szCs w:val="24"/>
        </w:rPr>
        <w:t>》团体标准编制组</w:t>
      </w:r>
    </w:p>
    <w:p w14:paraId="158E7918" w14:textId="77777777" w:rsidR="00203CDB" w:rsidRDefault="00000000">
      <w:pPr>
        <w:adjustRightInd/>
        <w:spacing w:line="520" w:lineRule="exact"/>
        <w:ind w:right="240" w:firstLineChars="200" w:firstLine="480"/>
        <w:jc w:val="righ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2026年5月</w:t>
      </w:r>
    </w:p>
    <w:sectPr w:rsidR="00203CDB">
      <w:footerReference w:type="default" r:id="rId8"/>
      <w:footerReference w:type="first" r:id="rId9"/>
      <w:pgSz w:w="11906" w:h="16838"/>
      <w:pgMar w:top="1474" w:right="1474" w:bottom="1474" w:left="147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7724" w14:textId="77777777" w:rsidR="00B33A01" w:rsidRDefault="00B33A01">
      <w:pPr>
        <w:spacing w:line="240" w:lineRule="auto"/>
      </w:pPr>
      <w:r>
        <w:separator/>
      </w:r>
    </w:p>
  </w:endnote>
  <w:endnote w:type="continuationSeparator" w:id="0">
    <w:p w14:paraId="3E88F6CD" w14:textId="77777777" w:rsidR="00B33A01" w:rsidRDefault="00B33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3101" w14:textId="77777777" w:rsidR="00203CDB" w:rsidRDefault="00000000">
    <w:pPr>
      <w:pStyle w:val="a7"/>
      <w:tabs>
        <w:tab w:val="clear" w:pos="4153"/>
      </w:tabs>
      <w:jc w:val="center"/>
    </w:pPr>
    <w:r>
      <w:rPr>
        <w:noProof/>
      </w:rPr>
      <mc:AlternateContent>
        <mc:Choice Requires="wps">
          <w:drawing>
            <wp:anchor distT="0" distB="0" distL="114300" distR="114300" simplePos="0" relativeHeight="251659264" behindDoc="0" locked="0" layoutInCell="1" allowOverlap="1" wp14:anchorId="1E1E1DC5" wp14:editId="0468C9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7FB7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1E1DC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77FB7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5C24" w14:textId="77777777" w:rsidR="00203CDB" w:rsidRDefault="00000000">
    <w:pPr>
      <w:pStyle w:val="a7"/>
    </w:pPr>
    <w:r>
      <w:rPr>
        <w:noProof/>
      </w:rPr>
      <mc:AlternateContent>
        <mc:Choice Requires="wps">
          <w:drawing>
            <wp:anchor distT="0" distB="0" distL="114300" distR="114300" simplePos="0" relativeHeight="251660288" behindDoc="0" locked="0" layoutInCell="1" allowOverlap="1" wp14:anchorId="42F445A4" wp14:editId="30207E5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BC0A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F445A4" id="_x0000_t202" coordsize="21600,21600" o:spt="202" path="m,l,21600r21600,l21600,xe">
              <v:stroke joinstyle="miter"/>
              <v:path gradientshapeok="t" o:connecttype="rect"/>
            </v:shapetype>
            <v:shape id="文本框 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99BC0AC" w14:textId="77777777" w:rsidR="00203CDB" w:rsidRDefault="00000000">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FD90" w14:textId="77777777" w:rsidR="00B33A01" w:rsidRDefault="00B33A01">
      <w:pPr>
        <w:spacing w:line="240" w:lineRule="auto"/>
      </w:pPr>
      <w:r>
        <w:separator/>
      </w:r>
    </w:p>
  </w:footnote>
  <w:footnote w:type="continuationSeparator" w:id="0">
    <w:p w14:paraId="4CA1E7AB" w14:textId="77777777" w:rsidR="00B33A01" w:rsidRDefault="00B33A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77EA28"/>
    <w:multiLevelType w:val="singleLevel"/>
    <w:tmpl w:val="DF77EA28"/>
    <w:lvl w:ilvl="0">
      <w:start w:val="1"/>
      <w:numFmt w:val="chineseCounting"/>
      <w:suff w:val="nothing"/>
      <w:lvlText w:val="%1、"/>
      <w:lvlJc w:val="left"/>
      <w:rPr>
        <w:rFonts w:hint="eastAsia"/>
      </w:rPr>
    </w:lvl>
  </w:abstractNum>
  <w:abstractNum w:abstractNumId="1"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83"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349214036">
    <w:abstractNumId w:val="1"/>
  </w:num>
  <w:num w:numId="2" w16cid:durableId="62161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03CDB"/>
    <w:rsid w:val="0022665B"/>
    <w:rsid w:val="002352BD"/>
    <w:rsid w:val="002403F0"/>
    <w:rsid w:val="00272365"/>
    <w:rsid w:val="002A096E"/>
    <w:rsid w:val="002B451A"/>
    <w:rsid w:val="002D5E86"/>
    <w:rsid w:val="002E6E5C"/>
    <w:rsid w:val="002F7A47"/>
    <w:rsid w:val="00316E46"/>
    <w:rsid w:val="00396248"/>
    <w:rsid w:val="00480E96"/>
    <w:rsid w:val="004A39DC"/>
    <w:rsid w:val="00582A2F"/>
    <w:rsid w:val="005C11CB"/>
    <w:rsid w:val="005C5149"/>
    <w:rsid w:val="005E679A"/>
    <w:rsid w:val="005E7999"/>
    <w:rsid w:val="00656B83"/>
    <w:rsid w:val="0069157B"/>
    <w:rsid w:val="006A7FCD"/>
    <w:rsid w:val="006D57C9"/>
    <w:rsid w:val="0072491F"/>
    <w:rsid w:val="00735EC9"/>
    <w:rsid w:val="007461FD"/>
    <w:rsid w:val="00780B13"/>
    <w:rsid w:val="007A6776"/>
    <w:rsid w:val="00877D40"/>
    <w:rsid w:val="008E50FB"/>
    <w:rsid w:val="00920FC6"/>
    <w:rsid w:val="009365DD"/>
    <w:rsid w:val="00943EAA"/>
    <w:rsid w:val="00953173"/>
    <w:rsid w:val="00953DD1"/>
    <w:rsid w:val="009B2A7D"/>
    <w:rsid w:val="009C2282"/>
    <w:rsid w:val="009E0090"/>
    <w:rsid w:val="009F158D"/>
    <w:rsid w:val="00A450BA"/>
    <w:rsid w:val="00A640FD"/>
    <w:rsid w:val="00AD07F2"/>
    <w:rsid w:val="00AE10C4"/>
    <w:rsid w:val="00B25D6A"/>
    <w:rsid w:val="00B3280E"/>
    <w:rsid w:val="00B33A01"/>
    <w:rsid w:val="00BE37FD"/>
    <w:rsid w:val="00BF2017"/>
    <w:rsid w:val="00C30751"/>
    <w:rsid w:val="00C3545C"/>
    <w:rsid w:val="00C60047"/>
    <w:rsid w:val="00C74DD1"/>
    <w:rsid w:val="00CC599E"/>
    <w:rsid w:val="00D11CAB"/>
    <w:rsid w:val="00D30CDC"/>
    <w:rsid w:val="00D468A7"/>
    <w:rsid w:val="00D54805"/>
    <w:rsid w:val="00DA266B"/>
    <w:rsid w:val="00DF18E0"/>
    <w:rsid w:val="00E316AC"/>
    <w:rsid w:val="00EC3847"/>
    <w:rsid w:val="00EF14A0"/>
    <w:rsid w:val="00EF2F96"/>
    <w:rsid w:val="00F14A32"/>
    <w:rsid w:val="00F339D1"/>
    <w:rsid w:val="00F371BA"/>
    <w:rsid w:val="00F663F7"/>
    <w:rsid w:val="00F763D7"/>
    <w:rsid w:val="00F9799E"/>
    <w:rsid w:val="00F97C40"/>
    <w:rsid w:val="00FA2E4A"/>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68B2463"/>
    <w:rsid w:val="76B66E3B"/>
    <w:rsid w:val="771A1486"/>
    <w:rsid w:val="77C33D3D"/>
    <w:rsid w:val="77ED3F06"/>
    <w:rsid w:val="78BC25D4"/>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9C6E2"/>
  <w15:docId w15:val="{FC35CB1A-EBB7-4016-B002-3E307A8E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autoRedefine/>
    <w:qFormat/>
    <w:pPr>
      <w:widowControl w:val="0"/>
      <w:adjustRightInd w:val="0"/>
      <w:spacing w:line="400" w:lineRule="exact"/>
      <w:jc w:val="both"/>
    </w:pPr>
    <w:rPr>
      <w:rFonts w:ascii="Calibri" w:hAnsi="Calibri" w:cs="Calibri"/>
      <w:kern w:val="2"/>
      <w:sz w:val="21"/>
      <w:szCs w:val="21"/>
    </w:rPr>
  </w:style>
  <w:style w:type="paragraph" w:styleId="2">
    <w:name w:val="heading 2"/>
    <w:basedOn w:val="a0"/>
    <w:next w:val="a0"/>
    <w:semiHidden/>
    <w:unhideWhenUsed/>
    <w:qFormat/>
    <w:pPr>
      <w:spacing w:beforeAutospacing="1" w:afterAutospacing="1"/>
      <w:jc w:val="left"/>
      <w:outlineLvl w:val="1"/>
    </w:pPr>
    <w:rPr>
      <w:rFonts w:ascii="宋体" w:hAnsi="宋体" w:cs="Times New Roman" w:hint="eastAsia"/>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qFormat/>
    <w:pPr>
      <w:ind w:firstLineChars="100" w:firstLine="420"/>
    </w:pPr>
  </w:style>
  <w:style w:type="paragraph" w:styleId="a5">
    <w:name w:val="Body Text"/>
    <w:basedOn w:val="a0"/>
    <w:autoRedefine/>
    <w:qFormat/>
    <w:pPr>
      <w:spacing w:before="50" w:line="360" w:lineRule="exact"/>
    </w:pPr>
    <w:rPr>
      <w:b/>
      <w:bCs/>
      <w:color w:val="FF0000"/>
      <w:sz w:val="18"/>
    </w:rPr>
  </w:style>
  <w:style w:type="paragraph" w:styleId="a6">
    <w:name w:val="annotation text"/>
    <w:basedOn w:val="a0"/>
    <w:autoRedefine/>
    <w:qFormat/>
    <w:pPr>
      <w:jc w:val="left"/>
    </w:pPr>
  </w:style>
  <w:style w:type="paragraph" w:styleId="a7">
    <w:name w:val="footer"/>
    <w:basedOn w:val="a0"/>
    <w:link w:val="a8"/>
    <w:autoRedefine/>
    <w:uiPriority w:val="99"/>
    <w:unhideWhenUsed/>
    <w:qFormat/>
    <w:pPr>
      <w:tabs>
        <w:tab w:val="center" w:pos="4153"/>
        <w:tab w:val="right" w:pos="8306"/>
      </w:tabs>
      <w:snapToGrid w:val="0"/>
      <w:jc w:val="left"/>
    </w:pPr>
    <w:rPr>
      <w:sz w:val="18"/>
      <w:szCs w:val="18"/>
    </w:rPr>
  </w:style>
  <w:style w:type="paragraph" w:styleId="a9">
    <w:name w:val="header"/>
    <w:basedOn w:val="a0"/>
    <w:link w:val="aa"/>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0"/>
    <w:autoRedefine/>
    <w:qFormat/>
    <w:pPr>
      <w:spacing w:beforeAutospacing="1" w:afterAutospacing="1"/>
      <w:jc w:val="left"/>
    </w:pPr>
    <w:rPr>
      <w:rFonts w:cs="Times New Roman"/>
      <w:kern w:val="0"/>
      <w:sz w:val="24"/>
      <w:szCs w:val="24"/>
    </w:rPr>
  </w:style>
  <w:style w:type="character" w:styleId="ac">
    <w:name w:val="Strong"/>
    <w:basedOn w:val="a2"/>
    <w:autoRedefine/>
    <w:uiPriority w:val="22"/>
    <w:qFormat/>
    <w:rPr>
      <w:b/>
      <w:bCs/>
    </w:rPr>
  </w:style>
  <w:style w:type="character" w:customStyle="1" w:styleId="aa">
    <w:name w:val="页眉 字符"/>
    <w:basedOn w:val="a2"/>
    <w:link w:val="a9"/>
    <w:autoRedefine/>
    <w:qFormat/>
    <w:rPr>
      <w:rFonts w:ascii="Calibri" w:eastAsia="宋体" w:hAnsi="Calibri" w:cs="Calibri"/>
      <w:kern w:val="2"/>
      <w:sz w:val="18"/>
      <w:szCs w:val="18"/>
    </w:rPr>
  </w:style>
  <w:style w:type="paragraph" w:customStyle="1" w:styleId="ad">
    <w:name w:val="段"/>
    <w:basedOn w:val="a0"/>
    <w:link w:val="ae"/>
    <w:autoRedefine/>
    <w:qFormat/>
    <w:pPr>
      <w:spacing w:line="240" w:lineRule="auto"/>
      <w:ind w:firstLineChars="200" w:firstLine="420"/>
    </w:pPr>
    <w:rPr>
      <w:rFonts w:ascii="Times New Roman" w:hAnsi="Times New Roman"/>
    </w:rPr>
  </w:style>
  <w:style w:type="character" w:customStyle="1" w:styleId="a8">
    <w:name w:val="页脚 字符"/>
    <w:basedOn w:val="a2"/>
    <w:link w:val="a7"/>
    <w:autoRedefine/>
    <w:uiPriority w:val="99"/>
    <w:qFormat/>
    <w:rPr>
      <w:rFonts w:ascii="Calibri" w:hAnsi="Calibri" w:cs="Calibri"/>
      <w:kern w:val="2"/>
      <w:sz w:val="18"/>
      <w:szCs w:val="18"/>
    </w:rPr>
  </w:style>
  <w:style w:type="character" w:customStyle="1" w:styleId="ae">
    <w:name w:val="段 字符"/>
    <w:basedOn w:val="a2"/>
    <w:link w:val="ad"/>
    <w:autoRedefine/>
    <w:qFormat/>
    <w:rPr>
      <w:rFonts w:cs="Calibri"/>
      <w:kern w:val="2"/>
      <w:sz w:val="21"/>
      <w:szCs w:val="21"/>
    </w:rPr>
  </w:style>
  <w:style w:type="paragraph" w:customStyle="1" w:styleId="af">
    <w:name w:val="正文段落，引导语"/>
    <w:basedOn w:val="ad"/>
    <w:autoRedefine/>
    <w:qFormat/>
    <w:rPr>
      <w:rFonts w:ascii="宋体" w:hAnsi="宋体"/>
    </w:rPr>
  </w:style>
  <w:style w:type="paragraph" w:customStyle="1" w:styleId="a">
    <w:name w:val="一级条标题"/>
    <w:next w:val="ad"/>
    <w:autoRedefine/>
    <w:qFormat/>
    <w:pPr>
      <w:numPr>
        <w:ilvl w:val="1"/>
        <w:numId w:val="1"/>
      </w:numPr>
      <w:spacing w:beforeLines="50" w:afterLines="50"/>
      <w:outlineLvl w:val="2"/>
    </w:pPr>
    <w:rPr>
      <w:rFonts w:ascii="黑体" w:eastAsia="黑体"/>
      <w:sz w:val="21"/>
      <w:szCs w:val="21"/>
    </w:rPr>
  </w:style>
  <w:style w:type="paragraph" w:customStyle="1" w:styleId="af0">
    <w:name w:val="表正缩"/>
    <w:autoRedefine/>
    <w:qFormat/>
    <w:pPr>
      <w:framePr w:hSpace="180" w:wrap="around" w:vAnchor="text" w:hAnchor="text" w:y="1"/>
      <w:ind w:firstLineChars="200" w:firstLine="200"/>
      <w:suppressOverlap/>
      <w:jc w:val="both"/>
    </w:pPr>
    <w:rPr>
      <w:rFonts w:ascii="方正仿宋_GB2312" w:eastAsia="方正仿宋_GB2312" w:cstheme="minorBidi"/>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2547</Words>
  <Characters>2727</Characters>
  <Application>Microsoft Office Word</Application>
  <DocSecurity>0</DocSecurity>
  <Lines>101</Lines>
  <Paragraphs>92</Paragraphs>
  <ScaleCrop>false</ScaleCrop>
  <Company>Hewlett-Packard Company</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Kuo Teng</cp:lastModifiedBy>
  <cp:revision>29</cp:revision>
  <cp:lastPrinted>2024-05-17T07:43:00Z</cp:lastPrinted>
  <dcterms:created xsi:type="dcterms:W3CDTF">2024-02-21T02:44:00Z</dcterms:created>
  <dcterms:modified xsi:type="dcterms:W3CDTF">2026-05-11T08:16:00Z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E6153694E41A4EBBB4C0EC29E6F37677_13</vt:lpwstr>
  </property>
  <property fmtid="{D5CDD505-2E9C-101B-9397-08002B2CF9AE}" pid="4" name="KSOTemplateDocerSaveRecord">
    <vt:lpwstr>eyJoZGlkIjoiNmRiYmMxMTlmMGViNTJlOTcyNzJiMGRmMzMyNGJmZmYiLCJ1c2VySWQiOiI0MTIzNzc4MTkifQ==</vt:lpwstr>
  </property>
</Properties>
</file>